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189" w:rsidRDefault="00407189">
      <w:pPr>
        <w:rPr>
          <w:rFonts w:eastAsia="仿宋_GB2312"/>
          <w:sz w:val="30"/>
        </w:rPr>
      </w:pPr>
    </w:p>
    <w:p w:rsidR="00407189" w:rsidRDefault="009B7344">
      <w:pPr>
        <w:spacing w:line="360" w:lineRule="auto"/>
        <w:jc w:val="center"/>
        <w:rPr>
          <w:rFonts w:ascii="黑体" w:eastAsia="黑体" w:hAnsi="黑体"/>
          <w:sz w:val="32"/>
          <w:szCs w:val="32"/>
        </w:rPr>
      </w:pPr>
      <w:r>
        <w:rPr>
          <w:rFonts w:ascii="黑体" w:eastAsia="黑体" w:hAnsi="黑体" w:hint="eastAsia"/>
          <w:sz w:val="32"/>
          <w:szCs w:val="32"/>
        </w:rPr>
        <w:t>苏州市市级预算部门（单位）整体支出预算绩效自评报告</w:t>
      </w:r>
    </w:p>
    <w:p w:rsidR="00407189" w:rsidRDefault="009B7344">
      <w:pPr>
        <w:spacing w:line="360" w:lineRule="auto"/>
        <w:jc w:val="center"/>
        <w:rPr>
          <w:rFonts w:ascii="黑体" w:eastAsia="黑体"/>
          <w:sz w:val="32"/>
          <w:szCs w:val="32"/>
        </w:rPr>
      </w:pPr>
      <w:r>
        <w:rPr>
          <w:rFonts w:ascii="黑体" w:eastAsia="黑体" w:hint="eastAsia"/>
          <w:sz w:val="32"/>
          <w:szCs w:val="32"/>
        </w:rPr>
        <w:t>（2024</w:t>
      </w:r>
      <w:bookmarkStart w:id="0" w:name="_GoBack"/>
      <w:bookmarkEnd w:id="0"/>
      <w:r>
        <w:rPr>
          <w:rFonts w:ascii="黑体" w:eastAsia="黑体" w:hint="eastAsia"/>
          <w:sz w:val="32"/>
          <w:szCs w:val="32"/>
        </w:rPr>
        <w:t>年度）</w:t>
      </w:r>
    </w:p>
    <w:p w:rsidR="00407189" w:rsidRDefault="00407189">
      <w:pPr>
        <w:spacing w:line="360" w:lineRule="auto"/>
        <w:jc w:val="center"/>
        <w:rPr>
          <w:rFonts w:eastAsia="仿宋_GB2312"/>
          <w:sz w:val="30"/>
        </w:rPr>
      </w:pPr>
    </w:p>
    <w:p w:rsidR="00407189" w:rsidRDefault="009B7344">
      <w:pPr>
        <w:spacing w:line="360" w:lineRule="auto"/>
        <w:ind w:firstLineChars="200" w:firstLine="600"/>
        <w:rPr>
          <w:rFonts w:ascii="黑体" w:eastAsia="黑体" w:hAnsi="黑体"/>
          <w:sz w:val="30"/>
        </w:rPr>
      </w:pPr>
      <w:r>
        <w:rPr>
          <w:rFonts w:ascii="黑体" w:eastAsia="黑体" w:hAnsi="黑体" w:hint="eastAsia"/>
          <w:sz w:val="30"/>
        </w:rPr>
        <w:t>一、预算部门名称：</w:t>
      </w:r>
      <w:r>
        <w:rPr>
          <w:rFonts w:ascii="宋体" w:hAnsi="宋体" w:cs="宋体" w:hint="eastAsia"/>
          <w:sz w:val="24"/>
        </w:rPr>
        <w:t>中国共产党苏州市纪律检查委员会</w:t>
      </w:r>
    </w:p>
    <w:p w:rsidR="00407189" w:rsidRDefault="009B7344">
      <w:pPr>
        <w:spacing w:line="360" w:lineRule="auto"/>
        <w:ind w:firstLineChars="200" w:firstLine="600"/>
        <w:rPr>
          <w:rFonts w:ascii="黑体" w:eastAsia="黑体" w:hAnsi="黑体"/>
          <w:sz w:val="30"/>
        </w:rPr>
      </w:pPr>
      <w:r>
        <w:rPr>
          <w:rFonts w:ascii="黑体" w:eastAsia="黑体" w:hAnsi="黑体" w:hint="eastAsia"/>
          <w:sz w:val="30"/>
        </w:rPr>
        <w:t>二、</w:t>
      </w:r>
      <w:r>
        <w:rPr>
          <w:rFonts w:ascii="黑体" w:eastAsia="黑体" w:hAnsi="黑体"/>
          <w:sz w:val="30"/>
        </w:rPr>
        <w:t>年度履职目标完成情况</w:t>
      </w:r>
      <w:r>
        <w:rPr>
          <w:rFonts w:ascii="黑体" w:eastAsia="黑体" w:hAnsi="黑体" w:hint="eastAsia"/>
          <w:sz w:val="30"/>
        </w:rPr>
        <w:t>：</w:t>
      </w:r>
    </w:p>
    <w:p w:rsidR="00407189" w:rsidRDefault="009B7344">
      <w:pPr>
        <w:spacing w:line="360" w:lineRule="auto"/>
        <w:ind w:firstLineChars="200" w:firstLine="480"/>
        <w:rPr>
          <w:rFonts w:ascii="宋体" w:hAnsi="宋体" w:cs="宋体"/>
          <w:sz w:val="24"/>
        </w:rPr>
      </w:pPr>
      <w:r>
        <w:rPr>
          <w:rFonts w:ascii="宋体" w:hAnsi="宋体" w:cs="宋体" w:hint="eastAsia"/>
          <w:sz w:val="24"/>
        </w:rPr>
        <w:t>2024年，在省纪委监委和市委坚强领导下，市纪委监委深入学习贯彻习近平总书记关于党的自我革命的重要思想，认真落实省纪委四次全会部署，以系统观念、体系思维正风肃纪反腐，利用党纪学习教育契机，以监督体系建设、省纪委案件质量评查通报问题整改、群众身边不正之风和腐败问题集中整治为抓手，着力提升市县两级纪委监委工作的整体性协同性，纪检监察工作高质量发展取得新成效，为进一步全面深化改革、推进中国式现代化江苏新实践提供了坚强保障。</w:t>
      </w:r>
    </w:p>
    <w:p w:rsidR="00407189" w:rsidRDefault="009B7344">
      <w:pPr>
        <w:spacing w:line="360" w:lineRule="auto"/>
        <w:ind w:left="600"/>
        <w:rPr>
          <w:rFonts w:ascii="黑体" w:eastAsia="黑体" w:hAnsi="黑体"/>
          <w:sz w:val="30"/>
        </w:rPr>
      </w:pPr>
      <w:r>
        <w:rPr>
          <w:rFonts w:ascii="黑体" w:eastAsia="黑体" w:hAnsi="黑体" w:hint="eastAsia"/>
          <w:sz w:val="30"/>
        </w:rPr>
        <w:t>三、部门（单位）概况</w:t>
      </w:r>
    </w:p>
    <w:p w:rsidR="00407189" w:rsidRDefault="009B7344">
      <w:pPr>
        <w:spacing w:line="360" w:lineRule="auto"/>
        <w:ind w:firstLineChars="200" w:firstLine="480"/>
        <w:rPr>
          <w:rFonts w:ascii="宋体" w:hAnsi="宋体" w:cs="宋体"/>
          <w:sz w:val="24"/>
        </w:rPr>
      </w:pPr>
      <w:r>
        <w:rPr>
          <w:rFonts w:ascii="宋体" w:hAnsi="宋体" w:cs="宋体" w:hint="eastAsia"/>
          <w:sz w:val="24"/>
        </w:rPr>
        <w:t>一、负责全市党的纪律检查工作。二、依照党章和其他党内法规履行监督、执纪、问责职责。三、负责全市监察工作。四、依照法律规定履行监督、调查、处置职责。五、负责组织协调全面从严治党、党风廉政建设和反腐败宣传教育工作。六、负责综合分析全面从严治党、党风廉政建设和反腐败工作情况，对纪检监察工作重点问题开展调查研究；制定或者修改纪检监察规范性文件，参与起草党风廉政建设和反腐败工作有关规定和规范性文件。七、负责组织协调全市反腐败追逃追赃、防逃控赃工作，督促有关单位做好相关工作。八、根据干部管理权限，负责全市纪检监察系统领导班子建设、干部队伍建设和组织建设的综合规划、政策研究、制度建设和业务指导；会同有关方面做好市纪委监委派驻（派出）机构、市（县）区纪检监察机关、市属企事业单位纪检监察机构领导班子建设，加强管理和考核；组织和指导纪检监察系统干部教育培训工作。九、完成上级纪委监委和市委交办的其他任务。</w:t>
      </w:r>
    </w:p>
    <w:p w:rsidR="00407189" w:rsidRDefault="009B7344">
      <w:pPr>
        <w:spacing w:line="360" w:lineRule="auto"/>
        <w:ind w:left="600"/>
        <w:rPr>
          <w:rFonts w:ascii="黑体" w:eastAsia="黑体" w:hAnsi="黑体"/>
          <w:sz w:val="30"/>
        </w:rPr>
      </w:pPr>
      <w:r>
        <w:rPr>
          <w:rFonts w:ascii="黑体" w:eastAsia="黑体" w:hAnsi="黑体" w:hint="eastAsia"/>
          <w:sz w:val="30"/>
        </w:rPr>
        <w:t>四、部门</w:t>
      </w:r>
      <w:r>
        <w:rPr>
          <w:rFonts w:ascii="黑体" w:eastAsia="黑体" w:hAnsi="黑体"/>
          <w:sz w:val="30"/>
        </w:rPr>
        <w:t>（</w:t>
      </w:r>
      <w:r>
        <w:rPr>
          <w:rFonts w:ascii="黑体" w:eastAsia="黑体" w:hAnsi="黑体" w:hint="eastAsia"/>
          <w:sz w:val="30"/>
        </w:rPr>
        <w:t>单位</w:t>
      </w:r>
      <w:r>
        <w:rPr>
          <w:rFonts w:ascii="黑体" w:eastAsia="黑体" w:hAnsi="黑体"/>
          <w:sz w:val="30"/>
        </w:rPr>
        <w:t>）</w:t>
      </w:r>
      <w:r>
        <w:rPr>
          <w:rFonts w:ascii="黑体" w:eastAsia="黑体" w:hAnsi="黑体" w:hint="eastAsia"/>
          <w:sz w:val="30"/>
        </w:rPr>
        <w:t>整体支出绩效实现情况</w:t>
      </w:r>
    </w:p>
    <w:p w:rsidR="00407189" w:rsidRDefault="009B7344">
      <w:pPr>
        <w:spacing w:line="360" w:lineRule="auto"/>
        <w:ind w:firstLineChars="200" w:firstLine="480"/>
        <w:rPr>
          <w:rFonts w:ascii="宋体" w:hAnsi="宋体" w:cs="宋体"/>
          <w:sz w:val="24"/>
        </w:rPr>
      </w:pPr>
      <w:r>
        <w:rPr>
          <w:rFonts w:ascii="宋体" w:hAnsi="宋体" w:cs="宋体" w:hint="eastAsia"/>
          <w:sz w:val="24"/>
        </w:rPr>
        <w:t xml:space="preserve"> 1.部门管理情况：管理制度健全性、资金使用合规性、政府采购规范性、财务管理规范性、资产管理规范性、预决算信息公开规范性等符合内部控制制度、政府采购制度等制度要求。预算执行率较高，较好完成了预算执行目标。2.部门履职及效果情</w:t>
      </w:r>
      <w:r>
        <w:rPr>
          <w:rFonts w:ascii="宋体" w:hAnsi="宋体" w:cs="宋体" w:hint="eastAsia"/>
          <w:sz w:val="24"/>
        </w:rPr>
        <w:lastRenderedPageBreak/>
        <w:t>况总体完成情况较好。</w:t>
      </w:r>
    </w:p>
    <w:p w:rsidR="00407189" w:rsidRDefault="009B7344">
      <w:pPr>
        <w:spacing w:line="360" w:lineRule="auto"/>
        <w:ind w:left="600"/>
        <w:rPr>
          <w:rFonts w:ascii="黑体" w:eastAsia="黑体" w:hAnsi="黑体"/>
          <w:sz w:val="30"/>
        </w:rPr>
      </w:pPr>
      <w:r>
        <w:rPr>
          <w:rFonts w:ascii="黑体" w:eastAsia="黑体" w:hAnsi="黑体" w:hint="eastAsia"/>
          <w:sz w:val="30"/>
        </w:rPr>
        <w:t>五、部门</w:t>
      </w:r>
      <w:r>
        <w:rPr>
          <w:rFonts w:ascii="黑体" w:eastAsia="黑体" w:hAnsi="黑体"/>
          <w:sz w:val="30"/>
        </w:rPr>
        <w:t>（</w:t>
      </w:r>
      <w:r>
        <w:rPr>
          <w:rFonts w:ascii="黑体" w:eastAsia="黑体" w:hAnsi="黑体" w:hint="eastAsia"/>
          <w:sz w:val="30"/>
        </w:rPr>
        <w:t>单位</w:t>
      </w:r>
      <w:r>
        <w:rPr>
          <w:rFonts w:ascii="黑体" w:eastAsia="黑体" w:hAnsi="黑体"/>
          <w:sz w:val="30"/>
        </w:rPr>
        <w:t>）</w:t>
      </w:r>
      <w:r>
        <w:rPr>
          <w:rFonts w:ascii="黑体" w:eastAsia="黑体" w:hAnsi="黑体" w:hint="eastAsia"/>
          <w:sz w:val="30"/>
        </w:rPr>
        <w:t>整体支出绩效中存</w:t>
      </w:r>
      <w:r>
        <w:rPr>
          <w:rFonts w:ascii="黑体" w:eastAsia="黑体" w:hAnsi="黑体"/>
          <w:sz w:val="30"/>
        </w:rPr>
        <w:t>在问题</w:t>
      </w:r>
      <w:r>
        <w:rPr>
          <w:rFonts w:ascii="黑体" w:eastAsia="黑体" w:hAnsi="黑体" w:hint="eastAsia"/>
          <w:sz w:val="30"/>
        </w:rPr>
        <w:t>及</w:t>
      </w:r>
      <w:r>
        <w:rPr>
          <w:rFonts w:ascii="黑体" w:eastAsia="黑体" w:hAnsi="黑体"/>
          <w:sz w:val="30"/>
        </w:rPr>
        <w:t>改进措施</w:t>
      </w:r>
    </w:p>
    <w:p w:rsidR="00407189" w:rsidRDefault="009B7344">
      <w:pPr>
        <w:spacing w:line="360" w:lineRule="auto"/>
        <w:ind w:firstLineChars="200" w:firstLine="480"/>
        <w:rPr>
          <w:rFonts w:ascii="宋体" w:hAnsi="宋体" w:cs="宋体"/>
          <w:sz w:val="24"/>
        </w:rPr>
      </w:pPr>
      <w:r>
        <w:rPr>
          <w:rFonts w:ascii="宋体" w:hAnsi="宋体" w:cs="宋体" w:hint="eastAsia"/>
          <w:sz w:val="24"/>
        </w:rPr>
        <w:t>已设定的绩效指标基本反映我委的工作情况，实际运用后部分指标还需进一步量化、细化，使评价指标进一步完善。</w:t>
      </w:r>
    </w:p>
    <w:p w:rsidR="00407189" w:rsidRDefault="009B7344">
      <w:pPr>
        <w:spacing w:line="360" w:lineRule="auto"/>
        <w:ind w:left="600"/>
        <w:rPr>
          <w:rFonts w:ascii="黑体" w:eastAsia="黑体" w:hAnsi="黑体"/>
          <w:sz w:val="30"/>
        </w:rPr>
      </w:pPr>
      <w:r>
        <w:rPr>
          <w:rFonts w:ascii="黑体" w:eastAsia="黑体" w:hAnsi="黑体" w:hint="eastAsia"/>
          <w:sz w:val="30"/>
        </w:rPr>
        <w:t>六、</w:t>
      </w:r>
      <w:r>
        <w:rPr>
          <w:rFonts w:ascii="黑体" w:eastAsia="黑体" w:hAnsi="黑体"/>
          <w:sz w:val="30"/>
        </w:rPr>
        <w:t>绩效自评</w:t>
      </w:r>
      <w:r>
        <w:rPr>
          <w:rFonts w:ascii="黑体" w:eastAsia="黑体" w:hAnsi="黑体" w:hint="eastAsia"/>
          <w:sz w:val="30"/>
        </w:rPr>
        <w:t>结果</w:t>
      </w:r>
      <w:r>
        <w:rPr>
          <w:rFonts w:ascii="黑体" w:eastAsia="黑体" w:hAnsi="黑体"/>
          <w:sz w:val="30"/>
        </w:rPr>
        <w:t>拟应用和公开</w:t>
      </w:r>
      <w:r>
        <w:rPr>
          <w:rFonts w:ascii="黑体" w:eastAsia="黑体" w:hAnsi="黑体" w:hint="eastAsia"/>
          <w:sz w:val="30"/>
        </w:rPr>
        <w:t>情况</w:t>
      </w:r>
    </w:p>
    <w:p w:rsidR="00407189" w:rsidRDefault="009B7344">
      <w:pPr>
        <w:spacing w:line="360" w:lineRule="auto"/>
        <w:ind w:firstLineChars="200" w:firstLine="480"/>
        <w:rPr>
          <w:rFonts w:ascii="宋体" w:hAnsi="宋体" w:cs="宋体"/>
          <w:sz w:val="24"/>
        </w:rPr>
      </w:pPr>
      <w:r>
        <w:rPr>
          <w:rFonts w:ascii="宋体" w:hAnsi="宋体" w:cs="宋体" w:hint="eastAsia"/>
          <w:sz w:val="24"/>
        </w:rPr>
        <w:t>我委将以绩效自评价结果作为预算编制的依据，进一步加强预算执行监督和绩效执行监督工作；将按照规定将绩效结果在财政公开网站和部门门户网站进行公开。</w:t>
      </w:r>
    </w:p>
    <w:p w:rsidR="00407189" w:rsidRDefault="00407189">
      <w:pPr>
        <w:spacing w:line="360" w:lineRule="auto"/>
        <w:rPr>
          <w:rFonts w:ascii="黑体" w:eastAsia="黑体" w:hAnsi="黑体"/>
          <w:sz w:val="30"/>
        </w:rPr>
        <w:sectPr w:rsidR="00407189">
          <w:headerReference w:type="even" r:id="rId7"/>
          <w:headerReference w:type="default" r:id="rId8"/>
          <w:footerReference w:type="even" r:id="rId9"/>
          <w:footerReference w:type="default" r:id="rId10"/>
          <w:pgSz w:w="11907" w:h="16840"/>
          <w:pgMar w:top="1247" w:right="1400" w:bottom="1089" w:left="1559" w:header="851" w:footer="992" w:gutter="0"/>
          <w:paperSrc w:first="15" w:other="15"/>
          <w:cols w:space="720"/>
          <w:docGrid w:type="lines" w:linePitch="312"/>
        </w:sectPr>
      </w:pPr>
    </w:p>
    <w:p w:rsidR="00407189" w:rsidRDefault="009B7344">
      <w:pPr>
        <w:numPr>
          <w:ilvl w:val="0"/>
          <w:numId w:val="1"/>
        </w:numPr>
        <w:spacing w:line="360" w:lineRule="auto"/>
        <w:ind w:left="600"/>
        <w:rPr>
          <w:rFonts w:ascii="黑体" w:eastAsia="黑体" w:hAnsi="黑体"/>
          <w:sz w:val="30"/>
        </w:rPr>
      </w:pPr>
      <w:r>
        <w:rPr>
          <w:rFonts w:ascii="黑体" w:eastAsia="黑体" w:hAnsi="黑体" w:hint="eastAsia"/>
          <w:sz w:val="30"/>
        </w:rPr>
        <w:lastRenderedPageBreak/>
        <w:t>预算信息</w:t>
      </w:r>
    </w:p>
    <w:tbl>
      <w:tblPr>
        <w:tblW w:w="14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9"/>
        <w:gridCol w:w="2268"/>
        <w:gridCol w:w="2268"/>
        <w:gridCol w:w="2268"/>
        <w:gridCol w:w="2268"/>
        <w:gridCol w:w="2268"/>
      </w:tblGrid>
      <w:tr w:rsidR="00407189">
        <w:trPr>
          <w:trHeight w:val="339"/>
        </w:trPr>
        <w:tc>
          <w:tcPr>
            <w:tcW w:w="3079"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kern w:val="0"/>
                <w:sz w:val="24"/>
              </w:rPr>
              <w:t>本年度预算资金（万元）</w:t>
            </w:r>
          </w:p>
        </w:tc>
        <w:tc>
          <w:tcPr>
            <w:tcW w:w="2268"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kern w:val="0"/>
                <w:sz w:val="24"/>
              </w:rPr>
              <w:t>年初预算数（万元）</w:t>
            </w:r>
          </w:p>
        </w:tc>
        <w:tc>
          <w:tcPr>
            <w:tcW w:w="2268"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kern w:val="0"/>
                <w:sz w:val="24"/>
              </w:rPr>
              <w:t>上年度结转及当年预算追加追减数(万元）</w:t>
            </w:r>
          </w:p>
        </w:tc>
        <w:tc>
          <w:tcPr>
            <w:tcW w:w="2268"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kern w:val="0"/>
                <w:sz w:val="24"/>
              </w:rPr>
              <w:t>调整预算数（万元）</w:t>
            </w:r>
          </w:p>
        </w:tc>
        <w:tc>
          <w:tcPr>
            <w:tcW w:w="2268"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kern w:val="0"/>
                <w:sz w:val="24"/>
              </w:rPr>
              <w:t>实际支出数（万元）</w:t>
            </w:r>
          </w:p>
        </w:tc>
        <w:tc>
          <w:tcPr>
            <w:tcW w:w="2268"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kern w:val="0"/>
                <w:sz w:val="24"/>
              </w:rPr>
              <w:t>执行率（%)</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预算总金额</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14853.69</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1455.27</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16308.96</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15688.61</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96.20%</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基本支出</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13798.48</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1515.27</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15313.75</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14864.46</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97.07%</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项目支出</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1055.21</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-60</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995.21</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824.15</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82.81%</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体检疗养费</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70.24</w:t>
            </w:r>
          </w:p>
        </w:tc>
        <w:tc>
          <w:tcPr>
            <w:tcW w:w="2268" w:type="dxa"/>
            <w:vAlign w:val="center"/>
          </w:tcPr>
          <w:p w:rsidR="009B7344" w:rsidRPr="009B7344" w:rsidRDefault="009B7344" w:rsidP="009B7344">
            <w:pPr>
              <w:widowControl/>
              <w:jc w:val="center"/>
              <w:rPr>
                <w:rFonts w:ascii="宋体" w:hAnsi="宋体" w:cs="宋体"/>
                <w:sz w:val="24"/>
              </w:rPr>
            </w:pP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70.24</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70.24</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100.00%</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专项档案整理保管费</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14</w:t>
            </w:r>
          </w:p>
        </w:tc>
        <w:tc>
          <w:tcPr>
            <w:tcW w:w="2268" w:type="dxa"/>
            <w:vAlign w:val="center"/>
          </w:tcPr>
          <w:p w:rsidR="009B7344" w:rsidRPr="009B7344" w:rsidRDefault="009B7344" w:rsidP="009B7344">
            <w:pPr>
              <w:widowControl/>
              <w:jc w:val="center"/>
              <w:rPr>
                <w:rFonts w:ascii="宋体" w:hAnsi="宋体" w:cs="宋体"/>
                <w:sz w:val="24"/>
              </w:rPr>
            </w:pP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14</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14</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100.00%</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专项培训费</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104.06</w:t>
            </w:r>
          </w:p>
        </w:tc>
        <w:tc>
          <w:tcPr>
            <w:tcW w:w="2268" w:type="dxa"/>
            <w:vAlign w:val="center"/>
          </w:tcPr>
          <w:p w:rsidR="009B7344" w:rsidRPr="009B7344" w:rsidRDefault="009B7344" w:rsidP="009B7344">
            <w:pPr>
              <w:widowControl/>
              <w:jc w:val="center"/>
              <w:rPr>
                <w:rFonts w:ascii="宋体" w:hAnsi="宋体" w:cs="宋体"/>
                <w:sz w:val="24"/>
              </w:rPr>
            </w:pP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104.06</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22.88</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21.99%</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专项宣传广告费</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138</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-30</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108</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98.28</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91.00%</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会议费</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20</w:t>
            </w:r>
          </w:p>
        </w:tc>
        <w:tc>
          <w:tcPr>
            <w:tcW w:w="2268" w:type="dxa"/>
            <w:vAlign w:val="center"/>
          </w:tcPr>
          <w:p w:rsidR="009B7344" w:rsidRPr="009B7344" w:rsidRDefault="009B7344" w:rsidP="009B7344">
            <w:pPr>
              <w:widowControl/>
              <w:jc w:val="center"/>
              <w:rPr>
                <w:rFonts w:ascii="宋体" w:hAnsi="宋体" w:cs="宋体"/>
                <w:sz w:val="24"/>
              </w:rPr>
            </w:pP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20</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13.22</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66.10%</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党团活动经费</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28</w:t>
            </w:r>
          </w:p>
        </w:tc>
        <w:tc>
          <w:tcPr>
            <w:tcW w:w="2268" w:type="dxa"/>
            <w:vAlign w:val="center"/>
          </w:tcPr>
          <w:p w:rsidR="009B7344" w:rsidRPr="009B7344" w:rsidRDefault="009B7344" w:rsidP="009B7344">
            <w:pPr>
              <w:widowControl/>
              <w:jc w:val="center"/>
              <w:rPr>
                <w:rFonts w:ascii="宋体" w:hAnsi="宋体" w:cs="宋体"/>
                <w:sz w:val="24"/>
              </w:rPr>
            </w:pP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28</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1.72</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6.14%</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车辆购置费</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48.11</w:t>
            </w:r>
          </w:p>
        </w:tc>
        <w:tc>
          <w:tcPr>
            <w:tcW w:w="2268" w:type="dxa"/>
            <w:vAlign w:val="center"/>
          </w:tcPr>
          <w:p w:rsidR="009B7344" w:rsidRPr="009B7344" w:rsidRDefault="009B7344" w:rsidP="009B7344">
            <w:pPr>
              <w:widowControl/>
              <w:jc w:val="center"/>
              <w:rPr>
                <w:rFonts w:ascii="宋体" w:hAnsi="宋体" w:cs="宋体"/>
                <w:sz w:val="24"/>
              </w:rPr>
            </w:pP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48.11</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42.95</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89.27%</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巡察工作专项经费</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335</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-20</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315</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311.61</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98.92%</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信息化系统运维费</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76.8</w:t>
            </w:r>
          </w:p>
        </w:tc>
        <w:tc>
          <w:tcPr>
            <w:tcW w:w="2268" w:type="dxa"/>
            <w:vAlign w:val="center"/>
          </w:tcPr>
          <w:p w:rsidR="009B7344" w:rsidRPr="009B7344" w:rsidRDefault="009B7344" w:rsidP="009B7344">
            <w:pPr>
              <w:widowControl/>
              <w:jc w:val="center"/>
              <w:rPr>
                <w:rFonts w:ascii="宋体" w:hAnsi="宋体" w:cs="宋体"/>
                <w:sz w:val="24"/>
              </w:rPr>
            </w:pP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76.8</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52.78</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68.72%</w:t>
            </w:r>
          </w:p>
        </w:tc>
      </w:tr>
      <w:tr w:rsidR="009B7344" w:rsidTr="009B7344">
        <w:trPr>
          <w:trHeight w:val="540"/>
        </w:trPr>
        <w:tc>
          <w:tcPr>
            <w:tcW w:w="3079"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专设机构工作经费</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221</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-10</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211</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196.47</w:t>
            </w:r>
          </w:p>
        </w:tc>
        <w:tc>
          <w:tcPr>
            <w:tcW w:w="2268" w:type="dxa"/>
            <w:vAlign w:val="center"/>
          </w:tcPr>
          <w:p w:rsidR="009B7344" w:rsidRPr="009B7344" w:rsidRDefault="009B7344" w:rsidP="009B7344">
            <w:pPr>
              <w:widowControl/>
              <w:jc w:val="center"/>
              <w:rPr>
                <w:rFonts w:ascii="宋体" w:hAnsi="宋体" w:cs="宋体"/>
                <w:sz w:val="24"/>
              </w:rPr>
            </w:pPr>
            <w:r w:rsidRPr="009B7344">
              <w:rPr>
                <w:rFonts w:ascii="宋体" w:hAnsi="宋体" w:cs="宋体" w:hint="eastAsia"/>
                <w:sz w:val="24"/>
              </w:rPr>
              <w:t>93.11%</w:t>
            </w:r>
          </w:p>
        </w:tc>
      </w:tr>
    </w:tbl>
    <w:p w:rsidR="00407189" w:rsidRDefault="009B7344">
      <w:pPr>
        <w:numPr>
          <w:ilvl w:val="0"/>
          <w:numId w:val="1"/>
        </w:numPr>
        <w:spacing w:line="360" w:lineRule="auto"/>
        <w:ind w:left="600"/>
        <w:rPr>
          <w:rFonts w:ascii="黑体" w:eastAsia="黑体" w:hAnsi="黑体"/>
          <w:sz w:val="30"/>
        </w:rPr>
      </w:pPr>
      <w:r>
        <w:rPr>
          <w:rFonts w:ascii="黑体" w:eastAsia="黑体" w:hAnsi="黑体" w:hint="eastAsia"/>
          <w:sz w:val="30"/>
        </w:rPr>
        <w:lastRenderedPageBreak/>
        <w:t>年度重点任务</w:t>
      </w:r>
    </w:p>
    <w:p w:rsidR="00407189" w:rsidRDefault="00407189">
      <w:pPr>
        <w:spacing w:line="360" w:lineRule="auto"/>
        <w:ind w:left="600"/>
        <w:rPr>
          <w:rFonts w:ascii="黑体" w:eastAsia="黑体" w:hAnsi="黑体"/>
          <w:sz w:val="30"/>
        </w:rPr>
      </w:pPr>
    </w:p>
    <w:tbl>
      <w:tblPr>
        <w:tblW w:w="13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9"/>
        <w:gridCol w:w="6754"/>
        <w:gridCol w:w="3344"/>
      </w:tblGrid>
      <w:tr w:rsidR="00407189" w:rsidTr="009B7344">
        <w:trPr>
          <w:trHeight w:val="339"/>
        </w:trPr>
        <w:tc>
          <w:tcPr>
            <w:tcW w:w="3419" w:type="dxa"/>
            <w:shd w:val="clear" w:color="000000" w:fill="BFBFBF"/>
            <w:vAlign w:val="center"/>
          </w:tcPr>
          <w:p w:rsidR="00407189" w:rsidRDefault="00407189">
            <w:pPr>
              <w:widowControl/>
              <w:jc w:val="center"/>
              <w:rPr>
                <w:rFonts w:ascii="宋体" w:hAnsi="宋体" w:cs="宋体"/>
                <w:b/>
                <w:bCs/>
                <w:kern w:val="0"/>
                <w:sz w:val="24"/>
              </w:rPr>
            </w:pPr>
          </w:p>
          <w:p w:rsidR="00407189" w:rsidRDefault="009B7344">
            <w:pPr>
              <w:widowControl/>
              <w:jc w:val="center"/>
              <w:rPr>
                <w:rFonts w:ascii="宋体" w:hAnsi="宋体" w:cs="宋体"/>
                <w:b/>
                <w:bCs/>
                <w:kern w:val="0"/>
                <w:sz w:val="24"/>
              </w:rPr>
            </w:pPr>
            <w:r>
              <w:rPr>
                <w:rFonts w:ascii="宋体" w:hAnsi="宋体" w:cs="宋体" w:hint="eastAsia"/>
                <w:b/>
                <w:bCs/>
                <w:kern w:val="0"/>
                <w:sz w:val="24"/>
              </w:rPr>
              <w:t>对应部门主要职责</w:t>
            </w:r>
          </w:p>
          <w:p w:rsidR="00407189" w:rsidRDefault="00407189">
            <w:pPr>
              <w:widowControl/>
              <w:jc w:val="center"/>
              <w:rPr>
                <w:rFonts w:ascii="宋体" w:hAnsi="宋体" w:cs="宋体"/>
                <w:b/>
                <w:bCs/>
                <w:kern w:val="0"/>
                <w:sz w:val="24"/>
              </w:rPr>
            </w:pPr>
          </w:p>
        </w:tc>
        <w:tc>
          <w:tcPr>
            <w:tcW w:w="6754"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kern w:val="0"/>
                <w:sz w:val="24"/>
              </w:rPr>
              <w:t>任务名称</w:t>
            </w:r>
          </w:p>
        </w:tc>
        <w:tc>
          <w:tcPr>
            <w:tcW w:w="3344"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kern w:val="0"/>
                <w:sz w:val="24"/>
              </w:rPr>
              <w:t>完成情况</w:t>
            </w:r>
          </w:p>
        </w:tc>
      </w:tr>
      <w:tr w:rsidR="00407189" w:rsidTr="009B7344">
        <w:trPr>
          <w:trHeight w:val="608"/>
        </w:trPr>
        <w:tc>
          <w:tcPr>
            <w:tcW w:w="3419" w:type="dxa"/>
            <w:vAlign w:val="center"/>
          </w:tcPr>
          <w:p w:rsidR="00407189" w:rsidRDefault="009B7344">
            <w:pPr>
              <w:widowControl/>
              <w:jc w:val="center"/>
              <w:rPr>
                <w:rFonts w:ascii="宋体" w:hAnsi="宋体" w:cs="宋体"/>
                <w:kern w:val="0"/>
                <w:sz w:val="24"/>
              </w:rPr>
            </w:pPr>
            <w:r>
              <w:rPr>
                <w:rFonts w:ascii="宋体" w:hAnsi="宋体" w:cs="宋体" w:hint="eastAsia"/>
                <w:sz w:val="24"/>
              </w:rPr>
              <w:t>廉洁文化建设</w:t>
            </w:r>
          </w:p>
        </w:tc>
        <w:tc>
          <w:tcPr>
            <w:tcW w:w="6754" w:type="dxa"/>
            <w:vAlign w:val="center"/>
          </w:tcPr>
          <w:p w:rsidR="00407189" w:rsidRDefault="009B7344">
            <w:pPr>
              <w:widowControl/>
              <w:jc w:val="center"/>
              <w:rPr>
                <w:rFonts w:ascii="宋体" w:hAnsi="宋体" w:cs="宋体"/>
                <w:sz w:val="24"/>
              </w:rPr>
            </w:pPr>
            <w:r>
              <w:rPr>
                <w:rFonts w:ascii="宋体" w:hAnsi="宋体" w:cs="宋体" w:hint="eastAsia"/>
                <w:sz w:val="24"/>
              </w:rPr>
              <w:t>认真落实省纪委各项部署，在把廉洁文化建设作为一体推进“三不”的重要抓手的基础上，探索“文旅廉”融合方法路径，充分用好用活“清廉百馆”等全市各级各类廉洁文化资源，优化廉洁教育旅游专线，为党员干部和群众提供沉浸式、场景化体验。抓好廉政教育工作，将纪律教育、警示教育和党性教育、政德教育贯通起来，将正面引导和反面警示结合起来，在全市范围加大勤廉榜样选树和宣传力度。持续擦亮家风教育品牌，积极做好省纪委家风课堂试点工作，持续推进“廉居共筑”家风教育主题活动，加强与苏州昆剧院、锡剧团等戏曲社团合作，推出更多有辨识度、有传播力的廉政主题精品剧目，让家风教育更接地气、更具人气。</w:t>
            </w:r>
          </w:p>
        </w:tc>
        <w:tc>
          <w:tcPr>
            <w:tcW w:w="3344" w:type="dxa"/>
            <w:vAlign w:val="center"/>
          </w:tcPr>
          <w:p w:rsidR="00407189" w:rsidRDefault="009B7344">
            <w:pPr>
              <w:widowControl/>
              <w:jc w:val="center"/>
              <w:rPr>
                <w:rFonts w:ascii="宋体" w:hAnsi="宋体" w:cs="宋体"/>
                <w:sz w:val="24"/>
              </w:rPr>
            </w:pPr>
            <w:r>
              <w:rPr>
                <w:rFonts w:ascii="宋体" w:hAnsi="宋体" w:cs="宋体" w:hint="eastAsia"/>
                <w:sz w:val="24"/>
              </w:rPr>
              <w:t>已完成</w:t>
            </w:r>
          </w:p>
        </w:tc>
      </w:tr>
      <w:tr w:rsidR="00407189" w:rsidTr="009B7344">
        <w:trPr>
          <w:trHeight w:val="608"/>
        </w:trPr>
        <w:tc>
          <w:tcPr>
            <w:tcW w:w="3419" w:type="dxa"/>
            <w:vAlign w:val="center"/>
          </w:tcPr>
          <w:p w:rsidR="00407189" w:rsidRDefault="009B7344">
            <w:pPr>
              <w:widowControl/>
              <w:jc w:val="center"/>
              <w:rPr>
                <w:rFonts w:ascii="宋体" w:hAnsi="宋体" w:cs="宋体"/>
                <w:kern w:val="0"/>
                <w:sz w:val="24"/>
              </w:rPr>
            </w:pPr>
            <w:r>
              <w:rPr>
                <w:rFonts w:ascii="宋体" w:hAnsi="宋体" w:cs="宋体" w:hint="eastAsia"/>
                <w:sz w:val="24"/>
              </w:rPr>
              <w:t>人员队伍素质提升</w:t>
            </w:r>
          </w:p>
        </w:tc>
        <w:tc>
          <w:tcPr>
            <w:tcW w:w="6754" w:type="dxa"/>
            <w:vAlign w:val="center"/>
          </w:tcPr>
          <w:p w:rsidR="00407189" w:rsidRDefault="009B7344">
            <w:pPr>
              <w:widowControl/>
              <w:jc w:val="center"/>
              <w:rPr>
                <w:rFonts w:ascii="宋体" w:hAnsi="宋体" w:cs="宋体"/>
                <w:sz w:val="24"/>
              </w:rPr>
            </w:pPr>
            <w:r>
              <w:rPr>
                <w:rFonts w:ascii="宋体" w:hAnsi="宋体" w:cs="宋体" w:hint="eastAsia"/>
                <w:sz w:val="24"/>
              </w:rPr>
              <w:t>加强纪检监察干部思想淬炼、政治历练、实践锻炼、专业训练，严格落实监察官法要求，努力锻造一支政治素质高、忠诚干净担当、专业化能力强、敢于善于斗争的纪检监察队伍。坚持好干部标准，选配各方面优秀人才，健全完善考核评价体系。进一步深化全员培训，提升纪检监察干部综合素质和精准监督执纪执法本领。</w:t>
            </w:r>
          </w:p>
        </w:tc>
        <w:tc>
          <w:tcPr>
            <w:tcW w:w="3344" w:type="dxa"/>
            <w:vAlign w:val="center"/>
          </w:tcPr>
          <w:p w:rsidR="00407189" w:rsidRDefault="009B7344">
            <w:pPr>
              <w:widowControl/>
              <w:jc w:val="center"/>
              <w:rPr>
                <w:rFonts w:ascii="宋体" w:hAnsi="宋体" w:cs="宋体"/>
                <w:sz w:val="24"/>
              </w:rPr>
            </w:pPr>
            <w:r>
              <w:rPr>
                <w:rFonts w:ascii="宋体" w:hAnsi="宋体" w:cs="宋体" w:hint="eastAsia"/>
                <w:sz w:val="24"/>
              </w:rPr>
              <w:t>已完成</w:t>
            </w:r>
          </w:p>
        </w:tc>
      </w:tr>
      <w:tr w:rsidR="00407189" w:rsidTr="009B7344">
        <w:trPr>
          <w:trHeight w:val="608"/>
        </w:trPr>
        <w:tc>
          <w:tcPr>
            <w:tcW w:w="3419" w:type="dxa"/>
            <w:vAlign w:val="center"/>
          </w:tcPr>
          <w:p w:rsidR="00407189" w:rsidRDefault="009B7344">
            <w:pPr>
              <w:widowControl/>
              <w:jc w:val="center"/>
              <w:rPr>
                <w:rFonts w:ascii="宋体" w:hAnsi="宋体" w:cs="宋体"/>
                <w:kern w:val="0"/>
                <w:sz w:val="24"/>
              </w:rPr>
            </w:pPr>
            <w:r>
              <w:rPr>
                <w:rFonts w:ascii="宋体" w:hAnsi="宋体" w:cs="宋体" w:hint="eastAsia"/>
                <w:sz w:val="24"/>
              </w:rPr>
              <w:t>深化政治巡察</w:t>
            </w:r>
          </w:p>
        </w:tc>
        <w:tc>
          <w:tcPr>
            <w:tcW w:w="6754" w:type="dxa"/>
            <w:vAlign w:val="center"/>
          </w:tcPr>
          <w:p w:rsidR="00407189" w:rsidRDefault="009B7344">
            <w:pPr>
              <w:widowControl/>
              <w:jc w:val="center"/>
              <w:rPr>
                <w:rFonts w:ascii="宋体" w:hAnsi="宋体" w:cs="宋体"/>
                <w:sz w:val="24"/>
              </w:rPr>
            </w:pPr>
            <w:r>
              <w:rPr>
                <w:rFonts w:ascii="宋体" w:hAnsi="宋体" w:cs="宋体" w:hint="eastAsia"/>
                <w:sz w:val="24"/>
              </w:rPr>
              <w:t>1. 持续深化政治巡察。胸怀“国之大者”，聚焦“两个维护”根本任务，紧盯领导班子特别是“一把手”，把各级党组织学习贯彻党的二十大精神摆在首位，加强对党中央和省市重大决策部署落实情况的监督检查，以巡察监督新成效助力廉洁苏州建</w:t>
            </w:r>
            <w:r>
              <w:rPr>
                <w:rFonts w:ascii="宋体" w:hAnsi="宋体" w:cs="宋体" w:hint="eastAsia"/>
                <w:sz w:val="24"/>
              </w:rPr>
              <w:lastRenderedPageBreak/>
              <w:t>设。2. 深入推进巡察上下联动。抓好常规巡察，采用多种组织形式推动行业或系统巡察，着力查找并推动解决影响发展的体制性障碍和机制性梗阻。加强巡察监督与纪律监督、监察监督、派驻监督等各类监督的统筹衔接和贯通融合，健全完善信息互通、成果共享、专业支持等协作机制，进一步凝聚监督合力。3. 强化巡察整改落实和成果运用。深入贯彻中央和省委、市委关于巡视巡察整改和成果运用的部署要求，认真履行巡察机构统筹督促责任，推动职能部门进一步加强整改日常监督、用好巡察成果，积极探索推进整改评估。加强对巡察整改落实情况的监督检查，适时组织专项督查。4. 持续提升巡察队伍能力素质。进一步推动巡察干部“横向轮岗”“上挂下派”“以干代训”，分级分类组织开展培训，引导巡察干部不断提高政治能力，强化政治担当。健全完善巡察制度体系，规范巡察准备、巡察进驻、巡察反馈、巡察整改业务流程，确保巡察工作经得起实践、人民、历史检验。</w:t>
            </w:r>
          </w:p>
        </w:tc>
        <w:tc>
          <w:tcPr>
            <w:tcW w:w="3344" w:type="dxa"/>
            <w:vAlign w:val="center"/>
          </w:tcPr>
          <w:p w:rsidR="00407189" w:rsidRDefault="009B7344">
            <w:pPr>
              <w:widowControl/>
              <w:jc w:val="center"/>
              <w:rPr>
                <w:rFonts w:ascii="宋体" w:hAnsi="宋体" w:cs="宋体"/>
                <w:sz w:val="24"/>
              </w:rPr>
            </w:pPr>
            <w:r>
              <w:rPr>
                <w:rFonts w:ascii="宋体" w:hAnsi="宋体" w:cs="宋体" w:hint="eastAsia"/>
                <w:sz w:val="24"/>
              </w:rPr>
              <w:lastRenderedPageBreak/>
              <w:t>已完成</w:t>
            </w:r>
          </w:p>
        </w:tc>
      </w:tr>
      <w:tr w:rsidR="00407189" w:rsidTr="009B7344">
        <w:trPr>
          <w:trHeight w:val="608"/>
        </w:trPr>
        <w:tc>
          <w:tcPr>
            <w:tcW w:w="3419" w:type="dxa"/>
            <w:vAlign w:val="center"/>
          </w:tcPr>
          <w:p w:rsidR="00407189" w:rsidRDefault="009B7344">
            <w:pPr>
              <w:widowControl/>
              <w:jc w:val="center"/>
              <w:rPr>
                <w:rFonts w:ascii="宋体" w:hAnsi="宋体" w:cs="宋体"/>
                <w:kern w:val="0"/>
                <w:sz w:val="24"/>
              </w:rPr>
            </w:pPr>
            <w:r>
              <w:rPr>
                <w:rFonts w:ascii="宋体" w:hAnsi="宋体" w:cs="宋体" w:hint="eastAsia"/>
                <w:sz w:val="24"/>
              </w:rPr>
              <w:lastRenderedPageBreak/>
              <w:t>执纪监督</w:t>
            </w:r>
          </w:p>
        </w:tc>
        <w:tc>
          <w:tcPr>
            <w:tcW w:w="6754" w:type="dxa"/>
            <w:vAlign w:val="center"/>
          </w:tcPr>
          <w:p w:rsidR="00407189" w:rsidRDefault="009B7344">
            <w:pPr>
              <w:widowControl/>
              <w:jc w:val="center"/>
              <w:rPr>
                <w:rFonts w:ascii="宋体" w:hAnsi="宋体" w:cs="宋体"/>
                <w:sz w:val="24"/>
              </w:rPr>
            </w:pPr>
            <w:r>
              <w:rPr>
                <w:rFonts w:ascii="宋体" w:hAnsi="宋体" w:cs="宋体" w:hint="eastAsia"/>
                <w:sz w:val="24"/>
              </w:rPr>
              <w:t>加强对党章贯彻执行情况、中央、省委、市委决策部署贯彻执行情况和政治纪律执行情况等方面的监督检查，确保政令畅通。</w:t>
            </w:r>
          </w:p>
        </w:tc>
        <w:tc>
          <w:tcPr>
            <w:tcW w:w="3344" w:type="dxa"/>
            <w:vAlign w:val="center"/>
          </w:tcPr>
          <w:p w:rsidR="00407189" w:rsidRDefault="009B7344">
            <w:pPr>
              <w:widowControl/>
              <w:jc w:val="center"/>
              <w:rPr>
                <w:rFonts w:ascii="宋体" w:hAnsi="宋体" w:cs="宋体"/>
                <w:sz w:val="24"/>
              </w:rPr>
            </w:pPr>
            <w:r>
              <w:rPr>
                <w:rFonts w:ascii="宋体" w:hAnsi="宋体" w:cs="宋体" w:hint="eastAsia"/>
                <w:sz w:val="24"/>
              </w:rPr>
              <w:t>已完成</w:t>
            </w:r>
          </w:p>
        </w:tc>
      </w:tr>
      <w:tr w:rsidR="00407189" w:rsidTr="009B7344">
        <w:trPr>
          <w:trHeight w:val="608"/>
        </w:trPr>
        <w:tc>
          <w:tcPr>
            <w:tcW w:w="3419" w:type="dxa"/>
            <w:vAlign w:val="center"/>
          </w:tcPr>
          <w:p w:rsidR="00407189" w:rsidRDefault="009B7344">
            <w:pPr>
              <w:widowControl/>
              <w:jc w:val="center"/>
              <w:rPr>
                <w:rFonts w:ascii="宋体" w:hAnsi="宋体" w:cs="宋体"/>
                <w:kern w:val="0"/>
                <w:sz w:val="24"/>
              </w:rPr>
            </w:pPr>
            <w:r>
              <w:rPr>
                <w:rFonts w:ascii="宋体" w:hAnsi="宋体" w:cs="宋体" w:hint="eastAsia"/>
                <w:sz w:val="24"/>
              </w:rPr>
              <w:t>审查调查</w:t>
            </w:r>
          </w:p>
        </w:tc>
        <w:tc>
          <w:tcPr>
            <w:tcW w:w="6754" w:type="dxa"/>
            <w:vAlign w:val="center"/>
          </w:tcPr>
          <w:p w:rsidR="00407189" w:rsidRDefault="009B7344">
            <w:pPr>
              <w:widowControl/>
              <w:jc w:val="center"/>
              <w:rPr>
                <w:rFonts w:ascii="宋体" w:hAnsi="宋体" w:cs="宋体"/>
                <w:sz w:val="24"/>
              </w:rPr>
            </w:pPr>
            <w:r>
              <w:rPr>
                <w:rFonts w:ascii="宋体" w:hAnsi="宋体" w:cs="宋体" w:hint="eastAsia"/>
                <w:sz w:val="24"/>
              </w:rPr>
              <w:t>1.坚持严的基调，全面落实中央八项规定精神，持续深化标本兼治、系统治理，一体推进不敢腐、不能腐、不想腐。2. 深化整治群众身边的腐败和作风问题，推动更好解决群众“急难愁盼”，健全损害群众利益问题治理机制，持之以恒治“四风”树新风。3.坚持实事求是、依规依纪依法，坚持惩前毖后、治病救人，深化运用“四种形态”。4.筹推进审查调查和办案安全，严格落实办案安全责任制。</w:t>
            </w:r>
          </w:p>
        </w:tc>
        <w:tc>
          <w:tcPr>
            <w:tcW w:w="3344" w:type="dxa"/>
            <w:vAlign w:val="center"/>
          </w:tcPr>
          <w:p w:rsidR="00407189" w:rsidRDefault="009B7344">
            <w:pPr>
              <w:widowControl/>
              <w:jc w:val="center"/>
              <w:rPr>
                <w:rFonts w:ascii="宋体" w:hAnsi="宋体" w:cs="宋体"/>
                <w:sz w:val="24"/>
              </w:rPr>
            </w:pPr>
            <w:r>
              <w:rPr>
                <w:rFonts w:ascii="宋体" w:hAnsi="宋体" w:cs="宋体" w:hint="eastAsia"/>
                <w:sz w:val="24"/>
              </w:rPr>
              <w:t>已完成</w:t>
            </w:r>
          </w:p>
        </w:tc>
      </w:tr>
      <w:tr w:rsidR="00407189" w:rsidTr="009B7344">
        <w:trPr>
          <w:trHeight w:val="608"/>
        </w:trPr>
        <w:tc>
          <w:tcPr>
            <w:tcW w:w="3419" w:type="dxa"/>
            <w:vAlign w:val="center"/>
          </w:tcPr>
          <w:p w:rsidR="00407189" w:rsidRDefault="009B7344">
            <w:pPr>
              <w:widowControl/>
              <w:jc w:val="center"/>
              <w:rPr>
                <w:rFonts w:ascii="宋体" w:hAnsi="宋体" w:cs="宋体"/>
                <w:kern w:val="0"/>
                <w:sz w:val="24"/>
              </w:rPr>
            </w:pPr>
            <w:r>
              <w:rPr>
                <w:rFonts w:ascii="宋体" w:hAnsi="宋体" w:cs="宋体" w:hint="eastAsia"/>
                <w:sz w:val="24"/>
              </w:rPr>
              <w:t>信访举报受理</w:t>
            </w:r>
          </w:p>
        </w:tc>
        <w:tc>
          <w:tcPr>
            <w:tcW w:w="6754" w:type="dxa"/>
            <w:vAlign w:val="center"/>
          </w:tcPr>
          <w:p w:rsidR="00407189" w:rsidRDefault="009B7344">
            <w:pPr>
              <w:widowControl/>
              <w:jc w:val="center"/>
              <w:rPr>
                <w:rFonts w:ascii="宋体" w:hAnsi="宋体" w:cs="宋体"/>
                <w:sz w:val="24"/>
              </w:rPr>
            </w:pPr>
            <w:r>
              <w:rPr>
                <w:rFonts w:ascii="宋体" w:hAnsi="宋体" w:cs="宋体" w:hint="eastAsia"/>
                <w:sz w:val="24"/>
              </w:rPr>
              <w:t>1.加强和改进信访举报受理办理工作，全力服务监督执纪问责。2.围绕政治生态分析研判，切实提高信访举报分析的层次和水平。3.扎实做好来访接待工作，进一步规范信访举报秩序。</w:t>
            </w:r>
          </w:p>
        </w:tc>
        <w:tc>
          <w:tcPr>
            <w:tcW w:w="3344" w:type="dxa"/>
            <w:vAlign w:val="center"/>
          </w:tcPr>
          <w:p w:rsidR="00407189" w:rsidRDefault="009B7344">
            <w:pPr>
              <w:widowControl/>
              <w:jc w:val="center"/>
              <w:rPr>
                <w:rFonts w:ascii="宋体" w:hAnsi="宋体" w:cs="宋体"/>
                <w:sz w:val="24"/>
              </w:rPr>
            </w:pPr>
            <w:r>
              <w:rPr>
                <w:rFonts w:ascii="宋体" w:hAnsi="宋体" w:cs="宋体" w:hint="eastAsia"/>
                <w:sz w:val="24"/>
              </w:rPr>
              <w:t>已完成</w:t>
            </w:r>
          </w:p>
        </w:tc>
      </w:tr>
    </w:tbl>
    <w:p w:rsidR="00407189" w:rsidRDefault="009B7344">
      <w:pPr>
        <w:numPr>
          <w:ilvl w:val="0"/>
          <w:numId w:val="1"/>
        </w:numPr>
        <w:spacing w:line="360" w:lineRule="auto"/>
        <w:ind w:left="600"/>
        <w:rPr>
          <w:rFonts w:ascii="黑体" w:eastAsia="黑体" w:hAnsi="黑体"/>
          <w:sz w:val="30"/>
        </w:rPr>
      </w:pPr>
      <w:r>
        <w:rPr>
          <w:rFonts w:ascii="黑体" w:eastAsia="黑体" w:hAnsi="黑体" w:hint="eastAsia"/>
          <w:sz w:val="30"/>
        </w:rPr>
        <w:lastRenderedPageBreak/>
        <w:t>部门整体自评表</w:t>
      </w:r>
    </w:p>
    <w:tbl>
      <w:tblPr>
        <w:tblpPr w:leftFromText="180" w:rightFromText="180" w:vertAnchor="text" w:horzAnchor="page" w:tblpX="1656" w:tblpY="127"/>
        <w:tblOverlap w:val="never"/>
        <w:tblW w:w="14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7"/>
        <w:gridCol w:w="2051"/>
        <w:gridCol w:w="2061"/>
        <w:gridCol w:w="1987"/>
        <w:gridCol w:w="1799"/>
        <w:gridCol w:w="1866"/>
        <w:gridCol w:w="1787"/>
        <w:gridCol w:w="1071"/>
      </w:tblGrid>
      <w:tr w:rsidR="00407189">
        <w:trPr>
          <w:trHeight w:val="339"/>
        </w:trPr>
        <w:tc>
          <w:tcPr>
            <w:tcW w:w="2067" w:type="dxa"/>
            <w:shd w:val="clear" w:color="000000" w:fill="BFBFBF"/>
            <w:vAlign w:val="center"/>
          </w:tcPr>
          <w:p w:rsidR="00407189" w:rsidRDefault="00407189">
            <w:pPr>
              <w:widowControl/>
              <w:jc w:val="center"/>
              <w:rPr>
                <w:rFonts w:ascii="宋体" w:hAnsi="宋体" w:cs="宋体"/>
                <w:b/>
                <w:bCs/>
                <w:kern w:val="0"/>
                <w:sz w:val="24"/>
              </w:rPr>
            </w:pPr>
          </w:p>
        </w:tc>
        <w:tc>
          <w:tcPr>
            <w:tcW w:w="2051"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sz w:val="24"/>
              </w:rPr>
              <w:t>类别</w:t>
            </w:r>
          </w:p>
        </w:tc>
        <w:tc>
          <w:tcPr>
            <w:tcW w:w="2061"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sz w:val="24"/>
              </w:rPr>
              <w:t>指标名称</w:t>
            </w:r>
          </w:p>
        </w:tc>
        <w:tc>
          <w:tcPr>
            <w:tcW w:w="1987"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sz w:val="24"/>
              </w:rPr>
              <w:t>指标目标值</w:t>
            </w:r>
          </w:p>
        </w:tc>
        <w:tc>
          <w:tcPr>
            <w:tcW w:w="1799"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sz w:val="24"/>
              </w:rPr>
              <w:t>指标完成值</w:t>
            </w:r>
          </w:p>
        </w:tc>
        <w:tc>
          <w:tcPr>
            <w:tcW w:w="1866" w:type="dxa"/>
            <w:shd w:val="clear" w:color="000000" w:fill="BFBFBF"/>
            <w:vAlign w:val="center"/>
          </w:tcPr>
          <w:p w:rsidR="00407189" w:rsidRDefault="009B7344">
            <w:pPr>
              <w:widowControl/>
              <w:jc w:val="center"/>
              <w:rPr>
                <w:rFonts w:ascii="宋体" w:hAnsi="宋体" w:cs="宋体"/>
                <w:b/>
                <w:bCs/>
                <w:kern w:val="0"/>
                <w:sz w:val="24"/>
              </w:rPr>
            </w:pPr>
            <w:r>
              <w:rPr>
                <w:rFonts w:ascii="宋体" w:hAnsi="宋体" w:cs="宋体" w:hint="eastAsia"/>
                <w:b/>
                <w:bCs/>
                <w:sz w:val="24"/>
              </w:rPr>
              <w:t>完成值来源</w:t>
            </w:r>
          </w:p>
        </w:tc>
        <w:tc>
          <w:tcPr>
            <w:tcW w:w="1787" w:type="dxa"/>
            <w:shd w:val="clear" w:color="000000" w:fill="BFBFBF"/>
            <w:vAlign w:val="center"/>
          </w:tcPr>
          <w:p w:rsidR="00407189" w:rsidRDefault="009B7344">
            <w:pPr>
              <w:widowControl/>
              <w:jc w:val="center"/>
              <w:rPr>
                <w:rFonts w:ascii="宋体" w:hAnsi="宋体" w:cs="宋体"/>
                <w:b/>
                <w:bCs/>
                <w:sz w:val="24"/>
              </w:rPr>
            </w:pPr>
            <w:r>
              <w:rPr>
                <w:rFonts w:ascii="宋体" w:hAnsi="宋体" w:cs="宋体" w:hint="eastAsia"/>
                <w:b/>
                <w:bCs/>
                <w:sz w:val="24"/>
              </w:rPr>
              <w:t>偏差情况</w:t>
            </w:r>
          </w:p>
        </w:tc>
        <w:tc>
          <w:tcPr>
            <w:tcW w:w="1071" w:type="dxa"/>
            <w:shd w:val="clear" w:color="000000" w:fill="BFBFBF"/>
          </w:tcPr>
          <w:p w:rsidR="00407189" w:rsidRDefault="009B7344">
            <w:pPr>
              <w:widowControl/>
              <w:jc w:val="center"/>
              <w:rPr>
                <w:rFonts w:ascii="黑体" w:eastAsia="黑体" w:hAnsi="黑体"/>
                <w:sz w:val="30"/>
              </w:rPr>
            </w:pPr>
            <w:r>
              <w:rPr>
                <w:rFonts w:ascii="宋体" w:hAnsi="宋体" w:cs="宋体" w:hint="eastAsia"/>
                <w:b/>
                <w:bCs/>
                <w:sz w:val="24"/>
              </w:rPr>
              <w:t>原因分析</w:t>
            </w:r>
          </w:p>
        </w:tc>
      </w:tr>
      <w:tr w:rsidR="00407189">
        <w:trPr>
          <w:trHeight w:val="540"/>
        </w:trPr>
        <w:tc>
          <w:tcPr>
            <w:tcW w:w="2067" w:type="dxa"/>
            <w:vMerge w:val="restart"/>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分解目标</w:t>
            </w:r>
          </w:p>
        </w:tc>
        <w:tc>
          <w:tcPr>
            <w:tcW w:w="2051" w:type="dxa"/>
            <w:vMerge w:val="restart"/>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决策</w:t>
            </w: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工作计划制定健全性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健全</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健全</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中长期规划制定健全性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健全</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健全</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绩效目标合理性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合理</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合理</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绩效指标明确性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明确</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明确</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预算编制规范性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规范</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规范</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预算编制科学性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科学</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科学</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restart"/>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过程</w:t>
            </w: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基础信息完善性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完善</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完善</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资金使用合规性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合规</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合规</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绩效管理覆盖率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非税收入管理合规性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合规</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合规</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预算管理制度健</w:t>
            </w:r>
            <w:r>
              <w:rPr>
                <w:rFonts w:ascii="宋体" w:hAnsi="宋体" w:cs="宋体" w:hint="eastAsia"/>
                <w:sz w:val="24"/>
              </w:rPr>
              <w:lastRenderedPageBreak/>
              <w:t>全性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lastRenderedPageBreak/>
              <w:t>健全</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健全</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预决算信息公开度</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公开</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公开</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资产管理规范性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规范</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规范</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资产管理制度健全性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健全</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健全</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固定资产利用率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项目管理制度健全性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健全</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健全</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项目管理制度执行规范性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规范</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规范</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人员管理制度健全性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健全</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健全</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在职人员控制率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人员管理制度执行有效性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有效</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有效</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业务学习与培训及时完成率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组织建设工作及时完成率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纪检监察工作有效性</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有效</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有效</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公用经费控制率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&lt;=100%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预算调整率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1.34%</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“三公经费”变动率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&lt;=0%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预算执行率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799" w:type="dxa"/>
            <w:vAlign w:val="center"/>
          </w:tcPr>
          <w:p w:rsidR="00407189" w:rsidRDefault="00C16BCC">
            <w:pPr>
              <w:spacing w:line="360" w:lineRule="auto"/>
              <w:jc w:val="center"/>
              <w:rPr>
                <w:rFonts w:ascii="宋体" w:hAnsi="宋体" w:cs="宋体"/>
                <w:kern w:val="0"/>
                <w:sz w:val="24"/>
              </w:rPr>
            </w:pPr>
            <w:r w:rsidRPr="00C16BCC">
              <w:rPr>
                <w:rFonts w:ascii="宋体" w:hAnsi="宋体" w:cs="宋体"/>
                <w:sz w:val="24"/>
              </w:rPr>
              <w:t>96.2</w:t>
            </w:r>
            <w:r>
              <w:rPr>
                <w:rFonts w:ascii="宋体" w:hAnsi="宋体" w:cs="宋体" w:hint="eastAsia"/>
                <w:sz w:val="24"/>
              </w:rPr>
              <w:t>0</w:t>
            </w:r>
            <w:r w:rsidR="009B7344">
              <w:rPr>
                <w:rFonts w:ascii="宋体" w:hAnsi="宋体" w:cs="宋体" w:hint="eastAsia"/>
                <w:sz w:val="24"/>
              </w:rPr>
              <w:t>%</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-3.</w:t>
            </w:r>
            <w:r w:rsidR="00C16BCC">
              <w:rPr>
                <w:rFonts w:ascii="宋体" w:hAnsi="宋体" w:cs="宋体" w:hint="eastAsia"/>
                <w:sz w:val="24"/>
              </w:rPr>
              <w:t>80</w:t>
            </w:r>
            <w:r>
              <w:rPr>
                <w:rFonts w:ascii="宋体" w:hAnsi="宋体" w:cs="宋体" w:hint="eastAsia"/>
                <w:sz w:val="24"/>
              </w:rPr>
              <w:t>%</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支付进度符合率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非税收入预算完成率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&gt;=100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政府采购执行率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预算偏差率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&lt;=10%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结转结余率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restart"/>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效益</w:t>
            </w: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人民群众正风反腐获得感</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有效提升</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有效提高</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违纪款缴库率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&gt;=90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11.11%</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满意度</w:t>
            </w: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人民群众满意度社会调查</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&gt;=85</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95</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11.76%</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restart"/>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履职</w:t>
            </w: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参与率</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&gt;=90</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11.11%</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召开一次全会</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完成</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完成</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组织两轮巡察和相关督查工作</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完成两轮巡察</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完成两轮巡察</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设施维护保养完好</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完好</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完好</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提高办案质量</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高</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高</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0%</w:t>
            </w:r>
          </w:p>
        </w:tc>
        <w:tc>
          <w:tcPr>
            <w:tcW w:w="1071" w:type="dxa"/>
          </w:tcPr>
          <w:p w:rsidR="00407189" w:rsidRDefault="00407189">
            <w:pPr>
              <w:spacing w:line="360" w:lineRule="auto"/>
              <w:rPr>
                <w:rFonts w:ascii="宋体" w:hAnsi="宋体" w:cs="宋体"/>
                <w:kern w:val="0"/>
                <w:sz w:val="22"/>
              </w:rPr>
            </w:pPr>
          </w:p>
        </w:tc>
      </w:tr>
      <w:tr w:rsidR="00407189">
        <w:trPr>
          <w:trHeight w:val="540"/>
        </w:trPr>
        <w:tc>
          <w:tcPr>
            <w:tcW w:w="2067" w:type="dxa"/>
            <w:vMerge/>
            <w:vAlign w:val="center"/>
          </w:tcPr>
          <w:p w:rsidR="00407189" w:rsidRDefault="00407189">
            <w:pPr>
              <w:spacing w:line="360" w:lineRule="auto"/>
              <w:jc w:val="center"/>
              <w:rPr>
                <w:rFonts w:ascii="宋体" w:hAnsi="宋体" w:cs="宋体"/>
                <w:kern w:val="0"/>
                <w:sz w:val="24"/>
              </w:rPr>
            </w:pPr>
          </w:p>
        </w:tc>
        <w:tc>
          <w:tcPr>
            <w:tcW w:w="2051" w:type="dxa"/>
            <w:vMerge/>
            <w:vAlign w:val="center"/>
          </w:tcPr>
          <w:p w:rsidR="00407189" w:rsidRDefault="00407189">
            <w:pPr>
              <w:spacing w:line="360" w:lineRule="auto"/>
              <w:jc w:val="center"/>
              <w:rPr>
                <w:rFonts w:ascii="宋体" w:hAnsi="宋体" w:cs="宋体"/>
                <w:kern w:val="0"/>
                <w:sz w:val="24"/>
              </w:rPr>
            </w:pPr>
          </w:p>
        </w:tc>
        <w:tc>
          <w:tcPr>
            <w:tcW w:w="2061"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做好信访接待工作</w:t>
            </w:r>
          </w:p>
        </w:tc>
        <w:tc>
          <w:tcPr>
            <w:tcW w:w="19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年内完成</w:t>
            </w:r>
          </w:p>
        </w:tc>
        <w:tc>
          <w:tcPr>
            <w:tcW w:w="1799"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年内完成</w:t>
            </w:r>
          </w:p>
        </w:tc>
        <w:tc>
          <w:tcPr>
            <w:tcW w:w="1866" w:type="dxa"/>
            <w:vAlign w:val="center"/>
          </w:tcPr>
          <w:p w:rsidR="00407189" w:rsidRDefault="00407189">
            <w:pPr>
              <w:spacing w:line="360" w:lineRule="auto"/>
              <w:jc w:val="center"/>
              <w:rPr>
                <w:rFonts w:ascii="宋体" w:hAnsi="宋体" w:cs="宋体"/>
                <w:kern w:val="0"/>
                <w:sz w:val="24"/>
              </w:rPr>
            </w:pPr>
          </w:p>
        </w:tc>
        <w:tc>
          <w:tcPr>
            <w:tcW w:w="1787" w:type="dxa"/>
            <w:vAlign w:val="center"/>
          </w:tcPr>
          <w:p w:rsidR="00407189" w:rsidRDefault="009B7344">
            <w:pPr>
              <w:spacing w:line="360" w:lineRule="auto"/>
              <w:jc w:val="center"/>
              <w:rPr>
                <w:rFonts w:ascii="宋体" w:hAnsi="宋体" w:cs="宋体"/>
                <w:kern w:val="0"/>
                <w:sz w:val="24"/>
              </w:rPr>
            </w:pPr>
            <w:r>
              <w:rPr>
                <w:rFonts w:ascii="宋体" w:hAnsi="宋体" w:cs="宋体" w:hint="eastAsia"/>
                <w:sz w:val="24"/>
              </w:rPr>
              <w:t>100%</w:t>
            </w:r>
          </w:p>
        </w:tc>
        <w:tc>
          <w:tcPr>
            <w:tcW w:w="1071" w:type="dxa"/>
          </w:tcPr>
          <w:p w:rsidR="00407189" w:rsidRDefault="00407189">
            <w:pPr>
              <w:spacing w:line="360" w:lineRule="auto"/>
              <w:rPr>
                <w:rFonts w:ascii="宋体" w:hAnsi="宋体" w:cs="宋体"/>
                <w:kern w:val="0"/>
                <w:sz w:val="22"/>
              </w:rPr>
            </w:pPr>
          </w:p>
        </w:tc>
      </w:tr>
    </w:tbl>
    <w:p w:rsidR="00407189" w:rsidRDefault="00407189">
      <w:pPr>
        <w:spacing w:line="360" w:lineRule="auto"/>
        <w:ind w:left="600"/>
        <w:rPr>
          <w:rFonts w:ascii="黑体" w:eastAsia="黑体" w:hAnsi="黑体"/>
          <w:sz w:val="30"/>
        </w:rPr>
      </w:pPr>
    </w:p>
    <w:sectPr w:rsidR="00407189" w:rsidSect="00407189">
      <w:headerReference w:type="default" r:id="rId11"/>
      <w:footerReference w:type="default" r:id="rId12"/>
      <w:pgSz w:w="16840" w:h="11907" w:orient="landscape"/>
      <w:pgMar w:top="1559" w:right="1247" w:bottom="1400" w:left="1089" w:header="851" w:footer="992" w:gutter="0"/>
      <w:paperSrc w:first="15" w:other="15"/>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189" w:rsidRDefault="00407189" w:rsidP="00407189">
      <w:r>
        <w:separator/>
      </w:r>
    </w:p>
  </w:endnote>
  <w:endnote w:type="continuationSeparator" w:id="1">
    <w:p w:rsidR="00407189" w:rsidRDefault="00407189" w:rsidP="00407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189" w:rsidRDefault="00004E4B">
    <w:pPr>
      <w:pStyle w:val="a4"/>
      <w:framePr w:wrap="around" w:vAnchor="text" w:hAnchor="margin" w:xAlign="center" w:y="1"/>
      <w:rPr>
        <w:rStyle w:val="a7"/>
      </w:rPr>
    </w:pPr>
    <w:r>
      <w:fldChar w:fldCharType="begin"/>
    </w:r>
    <w:r w:rsidR="009B7344">
      <w:rPr>
        <w:rStyle w:val="a7"/>
      </w:rPr>
      <w:instrText xml:space="preserve">PAGE  </w:instrText>
    </w:r>
    <w:r>
      <w:fldChar w:fldCharType="end"/>
    </w:r>
  </w:p>
  <w:p w:rsidR="00407189" w:rsidRDefault="004071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189" w:rsidRDefault="00004E4B">
    <w:pPr>
      <w:pStyle w:val="a4"/>
      <w:framePr w:wrap="around" w:vAnchor="text" w:hAnchor="margin" w:xAlign="center" w:y="1"/>
      <w:rPr>
        <w:rStyle w:val="a7"/>
      </w:rPr>
    </w:pPr>
    <w:r>
      <w:fldChar w:fldCharType="begin"/>
    </w:r>
    <w:r w:rsidR="009B7344">
      <w:rPr>
        <w:rStyle w:val="a7"/>
      </w:rPr>
      <w:instrText xml:space="preserve">PAGE  </w:instrText>
    </w:r>
    <w:r>
      <w:fldChar w:fldCharType="separate"/>
    </w:r>
    <w:r w:rsidR="00C16BCC">
      <w:rPr>
        <w:rStyle w:val="a7"/>
        <w:noProof/>
      </w:rPr>
      <w:t>2</w:t>
    </w:r>
    <w:r>
      <w:fldChar w:fldCharType="end"/>
    </w:r>
  </w:p>
  <w:p w:rsidR="00407189" w:rsidRDefault="0040718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189" w:rsidRDefault="00004E4B">
    <w:pPr>
      <w:pStyle w:val="a4"/>
      <w:framePr w:wrap="around" w:vAnchor="text" w:hAnchor="margin" w:xAlign="center" w:y="1"/>
      <w:rPr>
        <w:rStyle w:val="a7"/>
      </w:rPr>
    </w:pPr>
    <w:r>
      <w:fldChar w:fldCharType="begin"/>
    </w:r>
    <w:r w:rsidR="009B7344">
      <w:rPr>
        <w:rStyle w:val="a7"/>
      </w:rPr>
      <w:instrText xml:space="preserve">PAGE  </w:instrText>
    </w:r>
    <w:r>
      <w:fldChar w:fldCharType="separate"/>
    </w:r>
    <w:r w:rsidR="00C16BCC">
      <w:rPr>
        <w:rStyle w:val="a7"/>
        <w:noProof/>
      </w:rPr>
      <w:t>9</w:t>
    </w:r>
    <w:r>
      <w:fldChar w:fldCharType="end"/>
    </w:r>
  </w:p>
  <w:p w:rsidR="00407189" w:rsidRDefault="004071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189" w:rsidRDefault="00407189" w:rsidP="00407189">
      <w:r>
        <w:separator/>
      </w:r>
    </w:p>
  </w:footnote>
  <w:footnote w:type="continuationSeparator" w:id="1">
    <w:p w:rsidR="00407189" w:rsidRDefault="00407189" w:rsidP="00407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189" w:rsidRDefault="00407189">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189" w:rsidRDefault="00407189">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189" w:rsidRDefault="0040718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BB9F1"/>
    <w:multiLevelType w:val="singleLevel"/>
    <w:tmpl w:val="5D7BB9F1"/>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I2ZWIxNzBhOWM3YmNkMjVjMWZjMWQ2NzA4MDFlZmYifQ=="/>
  </w:docVars>
  <w:rsids>
    <w:rsidRoot w:val="00063C33"/>
    <w:rsid w:val="00000AE5"/>
    <w:rsid w:val="0000149B"/>
    <w:rsid w:val="00003466"/>
    <w:rsid w:val="00004E4B"/>
    <w:rsid w:val="00005172"/>
    <w:rsid w:val="000100EA"/>
    <w:rsid w:val="000174EF"/>
    <w:rsid w:val="00017B0A"/>
    <w:rsid w:val="00023671"/>
    <w:rsid w:val="00026029"/>
    <w:rsid w:val="000264BF"/>
    <w:rsid w:val="00037A63"/>
    <w:rsid w:val="00040CA6"/>
    <w:rsid w:val="00043B48"/>
    <w:rsid w:val="00052BE5"/>
    <w:rsid w:val="00060137"/>
    <w:rsid w:val="00063750"/>
    <w:rsid w:val="00063C33"/>
    <w:rsid w:val="00063D5B"/>
    <w:rsid w:val="00065156"/>
    <w:rsid w:val="00065B29"/>
    <w:rsid w:val="00067138"/>
    <w:rsid w:val="0006750F"/>
    <w:rsid w:val="000744C4"/>
    <w:rsid w:val="00075453"/>
    <w:rsid w:val="00075D05"/>
    <w:rsid w:val="000822BA"/>
    <w:rsid w:val="000824B9"/>
    <w:rsid w:val="00083E7F"/>
    <w:rsid w:val="000903A9"/>
    <w:rsid w:val="00090A12"/>
    <w:rsid w:val="00091DCD"/>
    <w:rsid w:val="000920AE"/>
    <w:rsid w:val="00096524"/>
    <w:rsid w:val="000A413D"/>
    <w:rsid w:val="000A5944"/>
    <w:rsid w:val="000B00C1"/>
    <w:rsid w:val="000B1FE0"/>
    <w:rsid w:val="000B2275"/>
    <w:rsid w:val="000B2CE5"/>
    <w:rsid w:val="000B5A1C"/>
    <w:rsid w:val="000B7645"/>
    <w:rsid w:val="000C44B7"/>
    <w:rsid w:val="000E5B04"/>
    <w:rsid w:val="000E69D0"/>
    <w:rsid w:val="000E7FBE"/>
    <w:rsid w:val="000F10A1"/>
    <w:rsid w:val="000F2CE9"/>
    <w:rsid w:val="000F5BD7"/>
    <w:rsid w:val="000F6964"/>
    <w:rsid w:val="00100A3B"/>
    <w:rsid w:val="001014B4"/>
    <w:rsid w:val="00104DFE"/>
    <w:rsid w:val="00106E72"/>
    <w:rsid w:val="00113289"/>
    <w:rsid w:val="00113D04"/>
    <w:rsid w:val="00113E8E"/>
    <w:rsid w:val="0011541B"/>
    <w:rsid w:val="0012134D"/>
    <w:rsid w:val="001220BE"/>
    <w:rsid w:val="00125CF2"/>
    <w:rsid w:val="00126E12"/>
    <w:rsid w:val="00130587"/>
    <w:rsid w:val="00130A6B"/>
    <w:rsid w:val="00131B00"/>
    <w:rsid w:val="00132D88"/>
    <w:rsid w:val="00133A9B"/>
    <w:rsid w:val="0013429F"/>
    <w:rsid w:val="001410F0"/>
    <w:rsid w:val="001420CF"/>
    <w:rsid w:val="00143A75"/>
    <w:rsid w:val="00143BA3"/>
    <w:rsid w:val="0014417A"/>
    <w:rsid w:val="001451E1"/>
    <w:rsid w:val="00147FEA"/>
    <w:rsid w:val="0015165E"/>
    <w:rsid w:val="00155CA1"/>
    <w:rsid w:val="001612E1"/>
    <w:rsid w:val="00164523"/>
    <w:rsid w:val="00165B5D"/>
    <w:rsid w:val="001662B4"/>
    <w:rsid w:val="0017063E"/>
    <w:rsid w:val="00177F82"/>
    <w:rsid w:val="001808D8"/>
    <w:rsid w:val="0018270E"/>
    <w:rsid w:val="00182B89"/>
    <w:rsid w:val="00182FC9"/>
    <w:rsid w:val="00190510"/>
    <w:rsid w:val="001A0AFE"/>
    <w:rsid w:val="001A1132"/>
    <w:rsid w:val="001B04B5"/>
    <w:rsid w:val="001B5269"/>
    <w:rsid w:val="001B7A52"/>
    <w:rsid w:val="001C0B83"/>
    <w:rsid w:val="001C31AD"/>
    <w:rsid w:val="001C4669"/>
    <w:rsid w:val="001C64FE"/>
    <w:rsid w:val="001C7FFB"/>
    <w:rsid w:val="001D03A1"/>
    <w:rsid w:val="001D2206"/>
    <w:rsid w:val="001D31D8"/>
    <w:rsid w:val="001D41B6"/>
    <w:rsid w:val="001D785B"/>
    <w:rsid w:val="001D7F4F"/>
    <w:rsid w:val="001E09A5"/>
    <w:rsid w:val="001E11AE"/>
    <w:rsid w:val="001E387E"/>
    <w:rsid w:val="001E4826"/>
    <w:rsid w:val="001E55E3"/>
    <w:rsid w:val="001F0EC7"/>
    <w:rsid w:val="001F1C88"/>
    <w:rsid w:val="001F2939"/>
    <w:rsid w:val="001F3B30"/>
    <w:rsid w:val="001F3BCB"/>
    <w:rsid w:val="00200D3F"/>
    <w:rsid w:val="0020308A"/>
    <w:rsid w:val="00204221"/>
    <w:rsid w:val="00206133"/>
    <w:rsid w:val="00213BC8"/>
    <w:rsid w:val="00216350"/>
    <w:rsid w:val="002166D3"/>
    <w:rsid w:val="00216F1E"/>
    <w:rsid w:val="00217E52"/>
    <w:rsid w:val="00222156"/>
    <w:rsid w:val="00223CA3"/>
    <w:rsid w:val="00227A2B"/>
    <w:rsid w:val="0023035D"/>
    <w:rsid w:val="002340B0"/>
    <w:rsid w:val="00234E4B"/>
    <w:rsid w:val="0023634E"/>
    <w:rsid w:val="002408C3"/>
    <w:rsid w:val="0024113F"/>
    <w:rsid w:val="00244426"/>
    <w:rsid w:val="0024746E"/>
    <w:rsid w:val="0025051E"/>
    <w:rsid w:val="00252592"/>
    <w:rsid w:val="00253D90"/>
    <w:rsid w:val="0025423D"/>
    <w:rsid w:val="00254F9A"/>
    <w:rsid w:val="00257BC2"/>
    <w:rsid w:val="00261488"/>
    <w:rsid w:val="00264AA2"/>
    <w:rsid w:val="00265B16"/>
    <w:rsid w:val="00265DA5"/>
    <w:rsid w:val="002673D0"/>
    <w:rsid w:val="002716BD"/>
    <w:rsid w:val="00273D49"/>
    <w:rsid w:val="00283319"/>
    <w:rsid w:val="00285317"/>
    <w:rsid w:val="0028539D"/>
    <w:rsid w:val="00286629"/>
    <w:rsid w:val="00286702"/>
    <w:rsid w:val="00286D47"/>
    <w:rsid w:val="002900B4"/>
    <w:rsid w:val="00291982"/>
    <w:rsid w:val="00294622"/>
    <w:rsid w:val="002A1D40"/>
    <w:rsid w:val="002A520E"/>
    <w:rsid w:val="002A71E9"/>
    <w:rsid w:val="002A740D"/>
    <w:rsid w:val="002B3130"/>
    <w:rsid w:val="002B46D0"/>
    <w:rsid w:val="002B4938"/>
    <w:rsid w:val="002B4C42"/>
    <w:rsid w:val="002B5C95"/>
    <w:rsid w:val="002B7826"/>
    <w:rsid w:val="002B7DA5"/>
    <w:rsid w:val="002C14BC"/>
    <w:rsid w:val="002C40C2"/>
    <w:rsid w:val="002C50BE"/>
    <w:rsid w:val="002C58CE"/>
    <w:rsid w:val="002C6932"/>
    <w:rsid w:val="002D37C3"/>
    <w:rsid w:val="002D39F6"/>
    <w:rsid w:val="002E02D4"/>
    <w:rsid w:val="002E3E46"/>
    <w:rsid w:val="002E6262"/>
    <w:rsid w:val="002F2F89"/>
    <w:rsid w:val="002F3573"/>
    <w:rsid w:val="002F79DA"/>
    <w:rsid w:val="003023BE"/>
    <w:rsid w:val="003047D9"/>
    <w:rsid w:val="00304E50"/>
    <w:rsid w:val="0031251A"/>
    <w:rsid w:val="00313B31"/>
    <w:rsid w:val="00313C95"/>
    <w:rsid w:val="00314B04"/>
    <w:rsid w:val="003205DD"/>
    <w:rsid w:val="003212A4"/>
    <w:rsid w:val="00321645"/>
    <w:rsid w:val="003224A9"/>
    <w:rsid w:val="00323407"/>
    <w:rsid w:val="00324653"/>
    <w:rsid w:val="00325446"/>
    <w:rsid w:val="003255FE"/>
    <w:rsid w:val="00327EE2"/>
    <w:rsid w:val="00330CB3"/>
    <w:rsid w:val="00332C74"/>
    <w:rsid w:val="00335FCC"/>
    <w:rsid w:val="00336C7D"/>
    <w:rsid w:val="00342E62"/>
    <w:rsid w:val="00343C7E"/>
    <w:rsid w:val="0034643F"/>
    <w:rsid w:val="00346D0D"/>
    <w:rsid w:val="00350DCA"/>
    <w:rsid w:val="00350EF3"/>
    <w:rsid w:val="00351E9C"/>
    <w:rsid w:val="00353E46"/>
    <w:rsid w:val="00354DA3"/>
    <w:rsid w:val="0035535B"/>
    <w:rsid w:val="003557CD"/>
    <w:rsid w:val="00355802"/>
    <w:rsid w:val="00362F2E"/>
    <w:rsid w:val="00365C54"/>
    <w:rsid w:val="003700B6"/>
    <w:rsid w:val="00370935"/>
    <w:rsid w:val="00371DB2"/>
    <w:rsid w:val="003729B0"/>
    <w:rsid w:val="00373041"/>
    <w:rsid w:val="003753A8"/>
    <w:rsid w:val="003831C1"/>
    <w:rsid w:val="00393CB1"/>
    <w:rsid w:val="003A5262"/>
    <w:rsid w:val="003B2F39"/>
    <w:rsid w:val="003B3410"/>
    <w:rsid w:val="003B36E9"/>
    <w:rsid w:val="003B6092"/>
    <w:rsid w:val="003C042E"/>
    <w:rsid w:val="003C06AC"/>
    <w:rsid w:val="003C1186"/>
    <w:rsid w:val="003C391B"/>
    <w:rsid w:val="003C4D46"/>
    <w:rsid w:val="003D01B1"/>
    <w:rsid w:val="003D0B70"/>
    <w:rsid w:val="003D72AD"/>
    <w:rsid w:val="003D7F91"/>
    <w:rsid w:val="003E2A48"/>
    <w:rsid w:val="003E2F63"/>
    <w:rsid w:val="003E65CC"/>
    <w:rsid w:val="003E6D22"/>
    <w:rsid w:val="003F2293"/>
    <w:rsid w:val="00400243"/>
    <w:rsid w:val="00405CA6"/>
    <w:rsid w:val="00407189"/>
    <w:rsid w:val="00410C77"/>
    <w:rsid w:val="00411D37"/>
    <w:rsid w:val="00424485"/>
    <w:rsid w:val="004257E1"/>
    <w:rsid w:val="00425AA3"/>
    <w:rsid w:val="004305C8"/>
    <w:rsid w:val="0043312C"/>
    <w:rsid w:val="00436533"/>
    <w:rsid w:val="00436EC1"/>
    <w:rsid w:val="004403E7"/>
    <w:rsid w:val="004423E2"/>
    <w:rsid w:val="00445706"/>
    <w:rsid w:val="0045004A"/>
    <w:rsid w:val="004545F2"/>
    <w:rsid w:val="00454BDA"/>
    <w:rsid w:val="00457C9A"/>
    <w:rsid w:val="004611B1"/>
    <w:rsid w:val="0046258B"/>
    <w:rsid w:val="00466701"/>
    <w:rsid w:val="00471F88"/>
    <w:rsid w:val="00473304"/>
    <w:rsid w:val="00475B06"/>
    <w:rsid w:val="00476840"/>
    <w:rsid w:val="0048152F"/>
    <w:rsid w:val="0048585A"/>
    <w:rsid w:val="0048750F"/>
    <w:rsid w:val="0049066C"/>
    <w:rsid w:val="004912EF"/>
    <w:rsid w:val="004974D1"/>
    <w:rsid w:val="004A1580"/>
    <w:rsid w:val="004A19DD"/>
    <w:rsid w:val="004B0052"/>
    <w:rsid w:val="004B44B5"/>
    <w:rsid w:val="004C13D9"/>
    <w:rsid w:val="004C156B"/>
    <w:rsid w:val="004C1CE2"/>
    <w:rsid w:val="004C51FC"/>
    <w:rsid w:val="004C5BAD"/>
    <w:rsid w:val="004D5319"/>
    <w:rsid w:val="004D797B"/>
    <w:rsid w:val="004E0982"/>
    <w:rsid w:val="004E1DF7"/>
    <w:rsid w:val="004E2D60"/>
    <w:rsid w:val="004E2E62"/>
    <w:rsid w:val="004E3248"/>
    <w:rsid w:val="004E5392"/>
    <w:rsid w:val="004E73A7"/>
    <w:rsid w:val="004F030E"/>
    <w:rsid w:val="004F2DA8"/>
    <w:rsid w:val="004F4FE5"/>
    <w:rsid w:val="004F6112"/>
    <w:rsid w:val="004F6658"/>
    <w:rsid w:val="004F6BFF"/>
    <w:rsid w:val="004F71AE"/>
    <w:rsid w:val="00501E97"/>
    <w:rsid w:val="005038C9"/>
    <w:rsid w:val="00506E8C"/>
    <w:rsid w:val="00506FCF"/>
    <w:rsid w:val="0051294C"/>
    <w:rsid w:val="00512A8D"/>
    <w:rsid w:val="00521013"/>
    <w:rsid w:val="00526943"/>
    <w:rsid w:val="005314A7"/>
    <w:rsid w:val="00532870"/>
    <w:rsid w:val="005428EE"/>
    <w:rsid w:val="00543724"/>
    <w:rsid w:val="0054645B"/>
    <w:rsid w:val="00552B33"/>
    <w:rsid w:val="00553660"/>
    <w:rsid w:val="00553EB2"/>
    <w:rsid w:val="00556E4F"/>
    <w:rsid w:val="00560776"/>
    <w:rsid w:val="00560AFC"/>
    <w:rsid w:val="00560EAF"/>
    <w:rsid w:val="005619A3"/>
    <w:rsid w:val="00562503"/>
    <w:rsid w:val="0056664B"/>
    <w:rsid w:val="00567693"/>
    <w:rsid w:val="00570911"/>
    <w:rsid w:val="005723D7"/>
    <w:rsid w:val="005755EB"/>
    <w:rsid w:val="005757F7"/>
    <w:rsid w:val="0058037E"/>
    <w:rsid w:val="00581411"/>
    <w:rsid w:val="005817F6"/>
    <w:rsid w:val="00593238"/>
    <w:rsid w:val="00597885"/>
    <w:rsid w:val="005A0674"/>
    <w:rsid w:val="005A3838"/>
    <w:rsid w:val="005A3AA9"/>
    <w:rsid w:val="005A3AE6"/>
    <w:rsid w:val="005A3EAE"/>
    <w:rsid w:val="005A4A49"/>
    <w:rsid w:val="005A71F3"/>
    <w:rsid w:val="005A7726"/>
    <w:rsid w:val="005A77D3"/>
    <w:rsid w:val="005B0AE0"/>
    <w:rsid w:val="005B2146"/>
    <w:rsid w:val="005B2738"/>
    <w:rsid w:val="005B2C2E"/>
    <w:rsid w:val="005B3560"/>
    <w:rsid w:val="005B48B6"/>
    <w:rsid w:val="005B4B41"/>
    <w:rsid w:val="005B529F"/>
    <w:rsid w:val="005B612C"/>
    <w:rsid w:val="005B6B32"/>
    <w:rsid w:val="005B77DD"/>
    <w:rsid w:val="005C09F8"/>
    <w:rsid w:val="005C1A18"/>
    <w:rsid w:val="005C1BD8"/>
    <w:rsid w:val="005C2E63"/>
    <w:rsid w:val="005C5E8E"/>
    <w:rsid w:val="005C65E4"/>
    <w:rsid w:val="005D11F6"/>
    <w:rsid w:val="005D1D0B"/>
    <w:rsid w:val="005D72E3"/>
    <w:rsid w:val="005E0E7F"/>
    <w:rsid w:val="005E5A79"/>
    <w:rsid w:val="005F1482"/>
    <w:rsid w:val="005F1E3B"/>
    <w:rsid w:val="0060449D"/>
    <w:rsid w:val="00610F23"/>
    <w:rsid w:val="00613019"/>
    <w:rsid w:val="00621622"/>
    <w:rsid w:val="006226C5"/>
    <w:rsid w:val="00622FB6"/>
    <w:rsid w:val="0062351F"/>
    <w:rsid w:val="00625CE4"/>
    <w:rsid w:val="00631623"/>
    <w:rsid w:val="006316FF"/>
    <w:rsid w:val="00633F34"/>
    <w:rsid w:val="006346F2"/>
    <w:rsid w:val="00642FA5"/>
    <w:rsid w:val="00643E54"/>
    <w:rsid w:val="006520DA"/>
    <w:rsid w:val="00652414"/>
    <w:rsid w:val="0066087C"/>
    <w:rsid w:val="00665D96"/>
    <w:rsid w:val="00672C67"/>
    <w:rsid w:val="006733B9"/>
    <w:rsid w:val="006777F4"/>
    <w:rsid w:val="00680C37"/>
    <w:rsid w:val="0068235A"/>
    <w:rsid w:val="00691F14"/>
    <w:rsid w:val="00693D54"/>
    <w:rsid w:val="00695B4B"/>
    <w:rsid w:val="006A242C"/>
    <w:rsid w:val="006A3E01"/>
    <w:rsid w:val="006A4842"/>
    <w:rsid w:val="006A5F11"/>
    <w:rsid w:val="006B46FE"/>
    <w:rsid w:val="006B5B10"/>
    <w:rsid w:val="006C0BED"/>
    <w:rsid w:val="006C1512"/>
    <w:rsid w:val="006C5E14"/>
    <w:rsid w:val="006E199D"/>
    <w:rsid w:val="006E2154"/>
    <w:rsid w:val="006E526F"/>
    <w:rsid w:val="006F2F60"/>
    <w:rsid w:val="006F4261"/>
    <w:rsid w:val="006F5BB5"/>
    <w:rsid w:val="006F63F7"/>
    <w:rsid w:val="006F7720"/>
    <w:rsid w:val="00700D51"/>
    <w:rsid w:val="00701E4E"/>
    <w:rsid w:val="00703AAD"/>
    <w:rsid w:val="00704126"/>
    <w:rsid w:val="00704DC6"/>
    <w:rsid w:val="00706525"/>
    <w:rsid w:val="00707621"/>
    <w:rsid w:val="007171E1"/>
    <w:rsid w:val="00717422"/>
    <w:rsid w:val="00722137"/>
    <w:rsid w:val="00723710"/>
    <w:rsid w:val="00733427"/>
    <w:rsid w:val="00735573"/>
    <w:rsid w:val="00737F68"/>
    <w:rsid w:val="007424E1"/>
    <w:rsid w:val="00742D87"/>
    <w:rsid w:val="00751DC9"/>
    <w:rsid w:val="0075565C"/>
    <w:rsid w:val="007605DC"/>
    <w:rsid w:val="00761F62"/>
    <w:rsid w:val="00762C18"/>
    <w:rsid w:val="00766FB7"/>
    <w:rsid w:val="00772348"/>
    <w:rsid w:val="00772510"/>
    <w:rsid w:val="00773A1D"/>
    <w:rsid w:val="00773F42"/>
    <w:rsid w:val="00774264"/>
    <w:rsid w:val="00775445"/>
    <w:rsid w:val="00780EE2"/>
    <w:rsid w:val="007840FE"/>
    <w:rsid w:val="00784F8B"/>
    <w:rsid w:val="007871EE"/>
    <w:rsid w:val="00793E08"/>
    <w:rsid w:val="00794A76"/>
    <w:rsid w:val="00795D56"/>
    <w:rsid w:val="007962F0"/>
    <w:rsid w:val="00797D92"/>
    <w:rsid w:val="007A0919"/>
    <w:rsid w:val="007A097F"/>
    <w:rsid w:val="007A4200"/>
    <w:rsid w:val="007B3DD4"/>
    <w:rsid w:val="007B5103"/>
    <w:rsid w:val="007B61B8"/>
    <w:rsid w:val="007B6A00"/>
    <w:rsid w:val="007C0D3D"/>
    <w:rsid w:val="007C31AE"/>
    <w:rsid w:val="007C36CD"/>
    <w:rsid w:val="007C3C87"/>
    <w:rsid w:val="007C3D16"/>
    <w:rsid w:val="007C47E4"/>
    <w:rsid w:val="007C4FF4"/>
    <w:rsid w:val="007D2436"/>
    <w:rsid w:val="007D2B3D"/>
    <w:rsid w:val="007D444F"/>
    <w:rsid w:val="007D4E58"/>
    <w:rsid w:val="007D56C8"/>
    <w:rsid w:val="007D7F00"/>
    <w:rsid w:val="007E1CCC"/>
    <w:rsid w:val="007E459A"/>
    <w:rsid w:val="007E4929"/>
    <w:rsid w:val="007E720E"/>
    <w:rsid w:val="007E72F0"/>
    <w:rsid w:val="007F009F"/>
    <w:rsid w:val="007F0BF3"/>
    <w:rsid w:val="007F0D47"/>
    <w:rsid w:val="007F2B03"/>
    <w:rsid w:val="007F33BC"/>
    <w:rsid w:val="007F6C9D"/>
    <w:rsid w:val="00800BE6"/>
    <w:rsid w:val="0080256D"/>
    <w:rsid w:val="00802E22"/>
    <w:rsid w:val="00812702"/>
    <w:rsid w:val="0081659F"/>
    <w:rsid w:val="008165F1"/>
    <w:rsid w:val="008235B6"/>
    <w:rsid w:val="008329A5"/>
    <w:rsid w:val="00832C53"/>
    <w:rsid w:val="008353A0"/>
    <w:rsid w:val="00846B19"/>
    <w:rsid w:val="008509A5"/>
    <w:rsid w:val="008521F8"/>
    <w:rsid w:val="00852E79"/>
    <w:rsid w:val="008550E4"/>
    <w:rsid w:val="00855CA7"/>
    <w:rsid w:val="00855F3C"/>
    <w:rsid w:val="00857998"/>
    <w:rsid w:val="00862373"/>
    <w:rsid w:val="008702C7"/>
    <w:rsid w:val="008814B7"/>
    <w:rsid w:val="00882EDF"/>
    <w:rsid w:val="008855D8"/>
    <w:rsid w:val="00885B43"/>
    <w:rsid w:val="00885EDD"/>
    <w:rsid w:val="00891909"/>
    <w:rsid w:val="0089196E"/>
    <w:rsid w:val="00894546"/>
    <w:rsid w:val="008956AE"/>
    <w:rsid w:val="008962B9"/>
    <w:rsid w:val="008B27AB"/>
    <w:rsid w:val="008B474A"/>
    <w:rsid w:val="008B4752"/>
    <w:rsid w:val="008C0F7F"/>
    <w:rsid w:val="008C19A0"/>
    <w:rsid w:val="008C5F52"/>
    <w:rsid w:val="008D1294"/>
    <w:rsid w:val="008D4748"/>
    <w:rsid w:val="008D493B"/>
    <w:rsid w:val="008E15CC"/>
    <w:rsid w:val="008E5F67"/>
    <w:rsid w:val="008E7EF2"/>
    <w:rsid w:val="008F0D75"/>
    <w:rsid w:val="00912649"/>
    <w:rsid w:val="009141CE"/>
    <w:rsid w:val="00914978"/>
    <w:rsid w:val="0092032F"/>
    <w:rsid w:val="00921CBB"/>
    <w:rsid w:val="009220F6"/>
    <w:rsid w:val="00923540"/>
    <w:rsid w:val="009238C5"/>
    <w:rsid w:val="00926CE3"/>
    <w:rsid w:val="00927493"/>
    <w:rsid w:val="00930153"/>
    <w:rsid w:val="00936842"/>
    <w:rsid w:val="00944770"/>
    <w:rsid w:val="00950C79"/>
    <w:rsid w:val="00952E84"/>
    <w:rsid w:val="00952F21"/>
    <w:rsid w:val="00954DE5"/>
    <w:rsid w:val="00956D46"/>
    <w:rsid w:val="00957FE6"/>
    <w:rsid w:val="00961F56"/>
    <w:rsid w:val="00973D9E"/>
    <w:rsid w:val="00973DF8"/>
    <w:rsid w:val="00975B93"/>
    <w:rsid w:val="009803F9"/>
    <w:rsid w:val="00981623"/>
    <w:rsid w:val="0098375F"/>
    <w:rsid w:val="0098511D"/>
    <w:rsid w:val="00985485"/>
    <w:rsid w:val="00986075"/>
    <w:rsid w:val="00991298"/>
    <w:rsid w:val="00991A54"/>
    <w:rsid w:val="009932BD"/>
    <w:rsid w:val="009934FA"/>
    <w:rsid w:val="00994166"/>
    <w:rsid w:val="009A14E2"/>
    <w:rsid w:val="009B00C3"/>
    <w:rsid w:val="009B0CBC"/>
    <w:rsid w:val="009B7344"/>
    <w:rsid w:val="009C0139"/>
    <w:rsid w:val="009C0E57"/>
    <w:rsid w:val="009C2F7D"/>
    <w:rsid w:val="009C55FF"/>
    <w:rsid w:val="009D6A3C"/>
    <w:rsid w:val="009D6EB2"/>
    <w:rsid w:val="009E3332"/>
    <w:rsid w:val="009E41C3"/>
    <w:rsid w:val="009E761C"/>
    <w:rsid w:val="009F0156"/>
    <w:rsid w:val="009F0F45"/>
    <w:rsid w:val="009F1E08"/>
    <w:rsid w:val="009F33A3"/>
    <w:rsid w:val="009F5379"/>
    <w:rsid w:val="009F698B"/>
    <w:rsid w:val="00A0033D"/>
    <w:rsid w:val="00A03EC8"/>
    <w:rsid w:val="00A0604C"/>
    <w:rsid w:val="00A11B0D"/>
    <w:rsid w:val="00A120BD"/>
    <w:rsid w:val="00A176AA"/>
    <w:rsid w:val="00A205D5"/>
    <w:rsid w:val="00A239B4"/>
    <w:rsid w:val="00A23D5F"/>
    <w:rsid w:val="00A25AFF"/>
    <w:rsid w:val="00A32DC9"/>
    <w:rsid w:val="00A33349"/>
    <w:rsid w:val="00A33FE6"/>
    <w:rsid w:val="00A44D43"/>
    <w:rsid w:val="00A452D2"/>
    <w:rsid w:val="00A470EC"/>
    <w:rsid w:val="00A50C4A"/>
    <w:rsid w:val="00A50F78"/>
    <w:rsid w:val="00A51224"/>
    <w:rsid w:val="00A5755C"/>
    <w:rsid w:val="00A63E56"/>
    <w:rsid w:val="00A66FD8"/>
    <w:rsid w:val="00A670EA"/>
    <w:rsid w:val="00A7100E"/>
    <w:rsid w:val="00A71A98"/>
    <w:rsid w:val="00A7291A"/>
    <w:rsid w:val="00A7417E"/>
    <w:rsid w:val="00A819B1"/>
    <w:rsid w:val="00A9009D"/>
    <w:rsid w:val="00A9242A"/>
    <w:rsid w:val="00A92BC1"/>
    <w:rsid w:val="00AA28F0"/>
    <w:rsid w:val="00AA2C54"/>
    <w:rsid w:val="00AA3EF4"/>
    <w:rsid w:val="00AA65DC"/>
    <w:rsid w:val="00AA7CBC"/>
    <w:rsid w:val="00AB36D0"/>
    <w:rsid w:val="00AB4CA0"/>
    <w:rsid w:val="00AB59CA"/>
    <w:rsid w:val="00AB60CB"/>
    <w:rsid w:val="00AC0C78"/>
    <w:rsid w:val="00AC175C"/>
    <w:rsid w:val="00AC4BC5"/>
    <w:rsid w:val="00AC6896"/>
    <w:rsid w:val="00AD4ACE"/>
    <w:rsid w:val="00AD4BAD"/>
    <w:rsid w:val="00AD5676"/>
    <w:rsid w:val="00AD5886"/>
    <w:rsid w:val="00AD6E3F"/>
    <w:rsid w:val="00AE08D5"/>
    <w:rsid w:val="00AE3466"/>
    <w:rsid w:val="00AF1471"/>
    <w:rsid w:val="00AF36BF"/>
    <w:rsid w:val="00AF53EC"/>
    <w:rsid w:val="00AF647B"/>
    <w:rsid w:val="00B010E5"/>
    <w:rsid w:val="00B048AA"/>
    <w:rsid w:val="00B13870"/>
    <w:rsid w:val="00B1500D"/>
    <w:rsid w:val="00B1629F"/>
    <w:rsid w:val="00B1672F"/>
    <w:rsid w:val="00B30486"/>
    <w:rsid w:val="00B3494F"/>
    <w:rsid w:val="00B427DC"/>
    <w:rsid w:val="00B44119"/>
    <w:rsid w:val="00B4671F"/>
    <w:rsid w:val="00B50F62"/>
    <w:rsid w:val="00B55AA4"/>
    <w:rsid w:val="00B60779"/>
    <w:rsid w:val="00B61496"/>
    <w:rsid w:val="00B63E05"/>
    <w:rsid w:val="00B66717"/>
    <w:rsid w:val="00B67AA7"/>
    <w:rsid w:val="00B72669"/>
    <w:rsid w:val="00B76DF4"/>
    <w:rsid w:val="00B76EEF"/>
    <w:rsid w:val="00B776C1"/>
    <w:rsid w:val="00B867D1"/>
    <w:rsid w:val="00B92977"/>
    <w:rsid w:val="00B92987"/>
    <w:rsid w:val="00B9437F"/>
    <w:rsid w:val="00B96073"/>
    <w:rsid w:val="00B962B5"/>
    <w:rsid w:val="00B968F0"/>
    <w:rsid w:val="00B96DB3"/>
    <w:rsid w:val="00BA2D4B"/>
    <w:rsid w:val="00BA3FBD"/>
    <w:rsid w:val="00BA7F8D"/>
    <w:rsid w:val="00BB48CE"/>
    <w:rsid w:val="00BB4CED"/>
    <w:rsid w:val="00BB57BA"/>
    <w:rsid w:val="00BB67B3"/>
    <w:rsid w:val="00BC3CDC"/>
    <w:rsid w:val="00BC4382"/>
    <w:rsid w:val="00BC5D5E"/>
    <w:rsid w:val="00BC6D9B"/>
    <w:rsid w:val="00BC7D69"/>
    <w:rsid w:val="00BC7FC3"/>
    <w:rsid w:val="00BD5B4F"/>
    <w:rsid w:val="00BD7B20"/>
    <w:rsid w:val="00BE0E9A"/>
    <w:rsid w:val="00BE4D46"/>
    <w:rsid w:val="00BE4D54"/>
    <w:rsid w:val="00BE72CC"/>
    <w:rsid w:val="00BF0580"/>
    <w:rsid w:val="00BF185A"/>
    <w:rsid w:val="00BF2DD0"/>
    <w:rsid w:val="00C01970"/>
    <w:rsid w:val="00C032A0"/>
    <w:rsid w:val="00C05C98"/>
    <w:rsid w:val="00C06939"/>
    <w:rsid w:val="00C0782F"/>
    <w:rsid w:val="00C16BCC"/>
    <w:rsid w:val="00C20DBD"/>
    <w:rsid w:val="00C246E2"/>
    <w:rsid w:val="00C24BCF"/>
    <w:rsid w:val="00C27505"/>
    <w:rsid w:val="00C30F82"/>
    <w:rsid w:val="00C35EEA"/>
    <w:rsid w:val="00C40F18"/>
    <w:rsid w:val="00C41F0D"/>
    <w:rsid w:val="00C42F38"/>
    <w:rsid w:val="00C5033A"/>
    <w:rsid w:val="00C50B8F"/>
    <w:rsid w:val="00C525DF"/>
    <w:rsid w:val="00C52DB2"/>
    <w:rsid w:val="00C546DD"/>
    <w:rsid w:val="00C54918"/>
    <w:rsid w:val="00C553C3"/>
    <w:rsid w:val="00C64A12"/>
    <w:rsid w:val="00C650DE"/>
    <w:rsid w:val="00C66303"/>
    <w:rsid w:val="00C66BB9"/>
    <w:rsid w:val="00C7017C"/>
    <w:rsid w:val="00C73986"/>
    <w:rsid w:val="00C7746B"/>
    <w:rsid w:val="00C77C77"/>
    <w:rsid w:val="00C8105F"/>
    <w:rsid w:val="00C81379"/>
    <w:rsid w:val="00C816B2"/>
    <w:rsid w:val="00C81970"/>
    <w:rsid w:val="00C87101"/>
    <w:rsid w:val="00C94D24"/>
    <w:rsid w:val="00C967CD"/>
    <w:rsid w:val="00CA0B2C"/>
    <w:rsid w:val="00CA1024"/>
    <w:rsid w:val="00CA290E"/>
    <w:rsid w:val="00CA3A89"/>
    <w:rsid w:val="00CA4EA9"/>
    <w:rsid w:val="00CB2ED2"/>
    <w:rsid w:val="00CB5DCB"/>
    <w:rsid w:val="00CC0015"/>
    <w:rsid w:val="00CC263F"/>
    <w:rsid w:val="00CD2C52"/>
    <w:rsid w:val="00CD602C"/>
    <w:rsid w:val="00CD62C1"/>
    <w:rsid w:val="00CD7481"/>
    <w:rsid w:val="00CE2A66"/>
    <w:rsid w:val="00CE375B"/>
    <w:rsid w:val="00CE7232"/>
    <w:rsid w:val="00CE79D7"/>
    <w:rsid w:val="00CF1C01"/>
    <w:rsid w:val="00CF390A"/>
    <w:rsid w:val="00D023CF"/>
    <w:rsid w:val="00D043F3"/>
    <w:rsid w:val="00D11F90"/>
    <w:rsid w:val="00D126D3"/>
    <w:rsid w:val="00D12DF6"/>
    <w:rsid w:val="00D21546"/>
    <w:rsid w:val="00D22A0E"/>
    <w:rsid w:val="00D241C5"/>
    <w:rsid w:val="00D24F9A"/>
    <w:rsid w:val="00D25230"/>
    <w:rsid w:val="00D345C2"/>
    <w:rsid w:val="00D35886"/>
    <w:rsid w:val="00D37A72"/>
    <w:rsid w:val="00D41BFE"/>
    <w:rsid w:val="00D42B90"/>
    <w:rsid w:val="00D520F5"/>
    <w:rsid w:val="00D5213E"/>
    <w:rsid w:val="00D52723"/>
    <w:rsid w:val="00D530E5"/>
    <w:rsid w:val="00D54714"/>
    <w:rsid w:val="00D604F2"/>
    <w:rsid w:val="00D658CF"/>
    <w:rsid w:val="00D74542"/>
    <w:rsid w:val="00D74D35"/>
    <w:rsid w:val="00D77B41"/>
    <w:rsid w:val="00D80278"/>
    <w:rsid w:val="00D81180"/>
    <w:rsid w:val="00D9349A"/>
    <w:rsid w:val="00DA0D5E"/>
    <w:rsid w:val="00DA16AA"/>
    <w:rsid w:val="00DA30BF"/>
    <w:rsid w:val="00DA3FE8"/>
    <w:rsid w:val="00DA50C9"/>
    <w:rsid w:val="00DB1CEE"/>
    <w:rsid w:val="00DB3E9E"/>
    <w:rsid w:val="00DB591E"/>
    <w:rsid w:val="00DC30C9"/>
    <w:rsid w:val="00DD0D6E"/>
    <w:rsid w:val="00DD18CE"/>
    <w:rsid w:val="00DD1A16"/>
    <w:rsid w:val="00DD42EC"/>
    <w:rsid w:val="00DE0681"/>
    <w:rsid w:val="00DE5FDB"/>
    <w:rsid w:val="00DF0128"/>
    <w:rsid w:val="00DF2564"/>
    <w:rsid w:val="00DF2DC2"/>
    <w:rsid w:val="00DF5F9F"/>
    <w:rsid w:val="00E012CA"/>
    <w:rsid w:val="00E04A97"/>
    <w:rsid w:val="00E05A01"/>
    <w:rsid w:val="00E20678"/>
    <w:rsid w:val="00E23D9D"/>
    <w:rsid w:val="00E30145"/>
    <w:rsid w:val="00E32CDA"/>
    <w:rsid w:val="00E42B8D"/>
    <w:rsid w:val="00E42DFA"/>
    <w:rsid w:val="00E45770"/>
    <w:rsid w:val="00E520D2"/>
    <w:rsid w:val="00E52F69"/>
    <w:rsid w:val="00E55C18"/>
    <w:rsid w:val="00E6288B"/>
    <w:rsid w:val="00E638E7"/>
    <w:rsid w:val="00E65313"/>
    <w:rsid w:val="00E702FB"/>
    <w:rsid w:val="00E71137"/>
    <w:rsid w:val="00E72EC0"/>
    <w:rsid w:val="00E750D4"/>
    <w:rsid w:val="00E767B8"/>
    <w:rsid w:val="00E808C9"/>
    <w:rsid w:val="00E8326A"/>
    <w:rsid w:val="00E91974"/>
    <w:rsid w:val="00E9307D"/>
    <w:rsid w:val="00E96C5B"/>
    <w:rsid w:val="00EA10FE"/>
    <w:rsid w:val="00EA17F8"/>
    <w:rsid w:val="00EA5CFD"/>
    <w:rsid w:val="00EB0631"/>
    <w:rsid w:val="00EB09CB"/>
    <w:rsid w:val="00EB3C5A"/>
    <w:rsid w:val="00EB3D74"/>
    <w:rsid w:val="00EC0B6B"/>
    <w:rsid w:val="00EC1538"/>
    <w:rsid w:val="00EC3057"/>
    <w:rsid w:val="00ED0F91"/>
    <w:rsid w:val="00ED2DB3"/>
    <w:rsid w:val="00ED3D82"/>
    <w:rsid w:val="00ED4051"/>
    <w:rsid w:val="00ED4F45"/>
    <w:rsid w:val="00ED746E"/>
    <w:rsid w:val="00EE1598"/>
    <w:rsid w:val="00EE262B"/>
    <w:rsid w:val="00EE31D1"/>
    <w:rsid w:val="00EE664B"/>
    <w:rsid w:val="00EE68D1"/>
    <w:rsid w:val="00EE714E"/>
    <w:rsid w:val="00EF32F9"/>
    <w:rsid w:val="00EF57A8"/>
    <w:rsid w:val="00EF5B65"/>
    <w:rsid w:val="00EF6352"/>
    <w:rsid w:val="00EF79CB"/>
    <w:rsid w:val="00EF7E0B"/>
    <w:rsid w:val="00F007E2"/>
    <w:rsid w:val="00F00D24"/>
    <w:rsid w:val="00F02180"/>
    <w:rsid w:val="00F026BD"/>
    <w:rsid w:val="00F06630"/>
    <w:rsid w:val="00F156D9"/>
    <w:rsid w:val="00F1602D"/>
    <w:rsid w:val="00F22B29"/>
    <w:rsid w:val="00F235BF"/>
    <w:rsid w:val="00F2564B"/>
    <w:rsid w:val="00F2628D"/>
    <w:rsid w:val="00F27DBF"/>
    <w:rsid w:val="00F300F5"/>
    <w:rsid w:val="00F311F9"/>
    <w:rsid w:val="00F355E6"/>
    <w:rsid w:val="00F35FE4"/>
    <w:rsid w:val="00F401E7"/>
    <w:rsid w:val="00F407B4"/>
    <w:rsid w:val="00F43CA4"/>
    <w:rsid w:val="00F607FD"/>
    <w:rsid w:val="00F63729"/>
    <w:rsid w:val="00F65C5A"/>
    <w:rsid w:val="00F709BD"/>
    <w:rsid w:val="00F70A8D"/>
    <w:rsid w:val="00F70DD5"/>
    <w:rsid w:val="00F70E49"/>
    <w:rsid w:val="00F71AA1"/>
    <w:rsid w:val="00F71F1F"/>
    <w:rsid w:val="00F752F3"/>
    <w:rsid w:val="00F80559"/>
    <w:rsid w:val="00F81F29"/>
    <w:rsid w:val="00F82F1C"/>
    <w:rsid w:val="00F83396"/>
    <w:rsid w:val="00F83FF1"/>
    <w:rsid w:val="00F849FD"/>
    <w:rsid w:val="00F90219"/>
    <w:rsid w:val="00F91559"/>
    <w:rsid w:val="00F94A92"/>
    <w:rsid w:val="00F96038"/>
    <w:rsid w:val="00F97984"/>
    <w:rsid w:val="00FA06B5"/>
    <w:rsid w:val="00FA2A9E"/>
    <w:rsid w:val="00FA2BBA"/>
    <w:rsid w:val="00FA3B5D"/>
    <w:rsid w:val="00FB0967"/>
    <w:rsid w:val="00FB2B52"/>
    <w:rsid w:val="00FB3455"/>
    <w:rsid w:val="00FB5138"/>
    <w:rsid w:val="00FC00A0"/>
    <w:rsid w:val="00FC031C"/>
    <w:rsid w:val="00FD112F"/>
    <w:rsid w:val="00FD1419"/>
    <w:rsid w:val="00FD6A76"/>
    <w:rsid w:val="00FE0388"/>
    <w:rsid w:val="00FE1D1B"/>
    <w:rsid w:val="00FE20DB"/>
    <w:rsid w:val="00FF07F9"/>
    <w:rsid w:val="00FF4C67"/>
    <w:rsid w:val="022A731E"/>
    <w:rsid w:val="02A64119"/>
    <w:rsid w:val="043D6C25"/>
    <w:rsid w:val="048667D3"/>
    <w:rsid w:val="049E006D"/>
    <w:rsid w:val="054C634F"/>
    <w:rsid w:val="07BD0E51"/>
    <w:rsid w:val="08DB7764"/>
    <w:rsid w:val="0C9A6ED5"/>
    <w:rsid w:val="100603AC"/>
    <w:rsid w:val="10F1631B"/>
    <w:rsid w:val="12A93FD5"/>
    <w:rsid w:val="130C2FEE"/>
    <w:rsid w:val="13CE1647"/>
    <w:rsid w:val="17B84A32"/>
    <w:rsid w:val="19B01875"/>
    <w:rsid w:val="1A1C1CFA"/>
    <w:rsid w:val="1AD4001C"/>
    <w:rsid w:val="1C3E1334"/>
    <w:rsid w:val="1CFD4AD4"/>
    <w:rsid w:val="1D070020"/>
    <w:rsid w:val="1EB274DF"/>
    <w:rsid w:val="20106F8E"/>
    <w:rsid w:val="22B36787"/>
    <w:rsid w:val="231125AC"/>
    <w:rsid w:val="24077BFF"/>
    <w:rsid w:val="26A5092E"/>
    <w:rsid w:val="28260401"/>
    <w:rsid w:val="2B110340"/>
    <w:rsid w:val="2CF51D47"/>
    <w:rsid w:val="2F640DE8"/>
    <w:rsid w:val="31190CC6"/>
    <w:rsid w:val="33FD7752"/>
    <w:rsid w:val="37922635"/>
    <w:rsid w:val="379540A7"/>
    <w:rsid w:val="3989156E"/>
    <w:rsid w:val="3A15477F"/>
    <w:rsid w:val="3A242466"/>
    <w:rsid w:val="3C47334E"/>
    <w:rsid w:val="3CB26D1E"/>
    <w:rsid w:val="3EF07F7A"/>
    <w:rsid w:val="43ED3C40"/>
    <w:rsid w:val="495323ED"/>
    <w:rsid w:val="4AF3601A"/>
    <w:rsid w:val="4BA315C9"/>
    <w:rsid w:val="4CC6446A"/>
    <w:rsid w:val="544D740E"/>
    <w:rsid w:val="55AE0FCF"/>
    <w:rsid w:val="58FE18D5"/>
    <w:rsid w:val="594914BB"/>
    <w:rsid w:val="5CA82CD1"/>
    <w:rsid w:val="5FCE09A6"/>
    <w:rsid w:val="60ED5F11"/>
    <w:rsid w:val="64122457"/>
    <w:rsid w:val="646426D5"/>
    <w:rsid w:val="64BC4F31"/>
    <w:rsid w:val="64C3416F"/>
    <w:rsid w:val="6624577F"/>
    <w:rsid w:val="67161F83"/>
    <w:rsid w:val="68817BAC"/>
    <w:rsid w:val="68DB6F84"/>
    <w:rsid w:val="6A1706CF"/>
    <w:rsid w:val="6A563FBC"/>
    <w:rsid w:val="6A7E3167"/>
    <w:rsid w:val="6D873407"/>
    <w:rsid w:val="6DA24319"/>
    <w:rsid w:val="6EA81B75"/>
    <w:rsid w:val="6FE35A27"/>
    <w:rsid w:val="72167982"/>
    <w:rsid w:val="739B783A"/>
    <w:rsid w:val="75536D10"/>
    <w:rsid w:val="75B30C82"/>
    <w:rsid w:val="76B57CE1"/>
    <w:rsid w:val="770E7892"/>
    <w:rsid w:val="77980A6E"/>
    <w:rsid w:val="77F71564"/>
    <w:rsid w:val="792A54A4"/>
    <w:rsid w:val="79F15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71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407189"/>
    <w:rPr>
      <w:sz w:val="18"/>
      <w:szCs w:val="18"/>
    </w:rPr>
  </w:style>
  <w:style w:type="paragraph" w:styleId="a4">
    <w:name w:val="footer"/>
    <w:basedOn w:val="a"/>
    <w:link w:val="Char"/>
    <w:qFormat/>
    <w:rsid w:val="00407189"/>
    <w:pPr>
      <w:tabs>
        <w:tab w:val="center" w:pos="4153"/>
        <w:tab w:val="right" w:pos="8306"/>
      </w:tabs>
      <w:snapToGrid w:val="0"/>
      <w:jc w:val="left"/>
    </w:pPr>
    <w:rPr>
      <w:sz w:val="18"/>
      <w:szCs w:val="18"/>
    </w:rPr>
  </w:style>
  <w:style w:type="paragraph" w:styleId="a5">
    <w:name w:val="header"/>
    <w:basedOn w:val="a"/>
    <w:link w:val="Char0"/>
    <w:qFormat/>
    <w:rsid w:val="0040718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4071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407189"/>
  </w:style>
  <w:style w:type="character" w:styleId="a8">
    <w:name w:val="Hyperlink"/>
    <w:qFormat/>
    <w:rsid w:val="00407189"/>
    <w:rPr>
      <w:color w:val="0000FF"/>
      <w:u w:val="single"/>
    </w:rPr>
  </w:style>
  <w:style w:type="character" w:customStyle="1" w:styleId="1">
    <w:name w:val="已访问的超链接1"/>
    <w:qFormat/>
    <w:rsid w:val="00407189"/>
    <w:rPr>
      <w:color w:val="800080"/>
      <w:u w:val="single"/>
    </w:rPr>
  </w:style>
  <w:style w:type="character" w:customStyle="1" w:styleId="Char0">
    <w:name w:val="页眉 Char"/>
    <w:link w:val="a5"/>
    <w:qFormat/>
    <w:rsid w:val="00407189"/>
    <w:rPr>
      <w:kern w:val="2"/>
      <w:sz w:val="18"/>
      <w:szCs w:val="18"/>
    </w:rPr>
  </w:style>
  <w:style w:type="character" w:customStyle="1" w:styleId="Char">
    <w:name w:val="页脚 Char"/>
    <w:link w:val="a4"/>
    <w:qFormat/>
    <w:rsid w:val="00407189"/>
    <w:rPr>
      <w:kern w:val="2"/>
      <w:sz w:val="18"/>
      <w:szCs w:val="18"/>
    </w:rPr>
  </w:style>
  <w:style w:type="paragraph" w:customStyle="1" w:styleId="21">
    <w:name w:val="目录 21"/>
    <w:basedOn w:val="a"/>
    <w:next w:val="a"/>
    <w:uiPriority w:val="39"/>
    <w:qFormat/>
    <w:rsid w:val="00407189"/>
    <w:pPr>
      <w:tabs>
        <w:tab w:val="right" w:leader="dot" w:pos="8494"/>
      </w:tabs>
      <w:spacing w:line="560" w:lineRule="exact"/>
      <w:ind w:left="210"/>
      <w:jc w:val="left"/>
    </w:pPr>
    <w:rPr>
      <w:rFonts w:ascii="仿宋_GB2312" w:eastAsia="仿宋_GB2312" w:hAnsi="Calibri" w:cs="Calibri"/>
      <w:smallCaps/>
      <w:sz w:val="28"/>
      <w:szCs w:val="28"/>
    </w:rPr>
  </w:style>
  <w:style w:type="paragraph" w:customStyle="1" w:styleId="11">
    <w:name w:val="目录 11"/>
    <w:basedOn w:val="a"/>
    <w:next w:val="a"/>
    <w:uiPriority w:val="39"/>
    <w:qFormat/>
    <w:rsid w:val="00407189"/>
    <w:pPr>
      <w:tabs>
        <w:tab w:val="left" w:pos="840"/>
        <w:tab w:val="right" w:leader="dot" w:pos="8296"/>
      </w:tabs>
      <w:spacing w:line="560" w:lineRule="exact"/>
      <w:jc w:val="left"/>
    </w:pPr>
    <w:rPr>
      <w:rFonts w:ascii="仿宋_GB2312" w:eastAsia="仿宋_GB2312" w:hAnsi="新宋体" w:cs="Calibri"/>
      <w:b/>
      <w:bCs/>
      <w:caps/>
      <w:sz w:val="28"/>
      <w:szCs w:val="28"/>
    </w:rPr>
  </w:style>
  <w:style w:type="paragraph" w:customStyle="1" w:styleId="CharCharCharCharCharCharChar">
    <w:name w:val="Char Char Char Char Char Char Char"/>
    <w:basedOn w:val="a"/>
    <w:qFormat/>
    <w:rsid w:val="00407189"/>
    <w:rPr>
      <w:szCs w:val="21"/>
    </w:rPr>
  </w:style>
  <w:style w:type="paragraph" w:customStyle="1" w:styleId="10">
    <w:name w:val="列出段落1"/>
    <w:basedOn w:val="a"/>
    <w:uiPriority w:val="34"/>
    <w:qFormat/>
    <w:rsid w:val="0040718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508494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3061</Words>
  <Characters>980</Characters>
  <Application>Microsoft Office Word</Application>
  <DocSecurity>0</DocSecurity>
  <Lines>8</Lines>
  <Paragraphs>8</Paragraphs>
  <ScaleCrop>false</ScaleCrop>
  <Company>czj</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关于进行本市部门整体支出</dc:title>
  <dc:creator>傅海英</dc:creator>
  <cp:lastModifiedBy>PC</cp:lastModifiedBy>
  <cp:revision>3</cp:revision>
  <cp:lastPrinted>2019-06-21T02:10:00Z</cp:lastPrinted>
  <dcterms:created xsi:type="dcterms:W3CDTF">2025-09-27T13:13:00Z</dcterms:created>
  <dcterms:modified xsi:type="dcterms:W3CDTF">2025-09-28T05:10:00Z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739EEDB2ECE141DEAF0C3D87D58590AD_13</vt:lpwstr>
  </property>
  <property fmtid="{D5CDD505-2E9C-101B-9397-08002B2CF9AE}" pid="4" name="KSOTemplateDocerSaveRecord">
    <vt:lpwstr>eyJoZGlkIjoiYjI2ZWIxNzBhOWM3YmNkMjVjMWZjMWQ2NzA4MDFlZmYiLCJ1c2VySWQiOiIxNDU0MjIwNjc4In0=</vt:lpwstr>
  </property>
</Properties>
</file>