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D5" w:rsidRDefault="00F70DD5">
      <w:pPr>
        <w:rPr>
          <w:rFonts w:eastAsia="仿宋_GB2312"/>
          <w:sz w:val="30"/>
        </w:rPr>
      </w:pPr>
    </w:p>
    <w:p w:rsidR="00F70DD5" w:rsidRDefault="00BE0E9A">
      <w:pPr>
        <w:spacing w:line="360" w:lineRule="auto"/>
        <w:jc w:val="center"/>
        <w:rPr>
          <w:rFonts w:ascii="黑体" w:eastAsia="黑体" w:hAnsi="黑体"/>
          <w:sz w:val="32"/>
          <w:szCs w:val="32"/>
        </w:rPr>
      </w:pPr>
      <w:r>
        <w:rPr>
          <w:rFonts w:ascii="黑体" w:eastAsia="黑体" w:hAnsi="黑体" w:hint="eastAsia"/>
          <w:sz w:val="32"/>
          <w:szCs w:val="32"/>
        </w:rPr>
        <w:t>苏州市市级预算部门（单位）整体支出预算绩效自评报告</w:t>
      </w:r>
    </w:p>
    <w:p w:rsidR="00F70DD5" w:rsidRDefault="00BE0E9A">
      <w:pPr>
        <w:spacing w:line="360" w:lineRule="auto"/>
        <w:jc w:val="center"/>
        <w:rPr>
          <w:rFonts w:ascii="黑体" w:eastAsia="黑体"/>
          <w:sz w:val="32"/>
          <w:szCs w:val="32"/>
        </w:rPr>
      </w:pPr>
      <w:r>
        <w:rPr>
          <w:rFonts w:ascii="黑体" w:eastAsia="黑体" w:hint="eastAsia"/>
          <w:sz w:val="32"/>
          <w:szCs w:val="32"/>
        </w:rPr>
        <w:t>（</w:t>
      </w:r>
      <w:r w:rsidR="00693D54">
        <w:rPr>
          <w:rFonts w:ascii="黑体" w:eastAsia="黑体" w:hint="eastAsia"/>
          <w:sz w:val="32"/>
          <w:szCs w:val="32"/>
        </w:rPr>
        <w:t>2023</w:t>
      </w:r>
      <w:r>
        <w:rPr>
          <w:rFonts w:ascii="黑体" w:eastAsia="黑体" w:hint="eastAsia"/>
          <w:sz w:val="32"/>
          <w:szCs w:val="32"/>
        </w:rPr>
        <w:t>年度）</w:t>
      </w:r>
    </w:p>
    <w:p w:rsidR="00F70DD5" w:rsidRDefault="00F70DD5">
      <w:pPr>
        <w:spacing w:line="360" w:lineRule="auto"/>
        <w:jc w:val="center"/>
        <w:rPr>
          <w:rFonts w:eastAsia="仿宋_GB2312"/>
          <w:sz w:val="30"/>
        </w:rPr>
      </w:pPr>
    </w:p>
    <w:p w:rsidR="00F70DD5" w:rsidRDefault="00BE0E9A">
      <w:pPr>
        <w:spacing w:line="360" w:lineRule="auto"/>
        <w:ind w:firstLineChars="200" w:firstLine="600"/>
        <w:rPr>
          <w:rFonts w:ascii="黑体" w:eastAsia="黑体" w:hAnsi="黑体"/>
          <w:sz w:val="30"/>
        </w:rPr>
      </w:pPr>
      <w:r>
        <w:rPr>
          <w:rFonts w:ascii="黑体" w:eastAsia="黑体" w:hAnsi="黑体" w:hint="eastAsia"/>
          <w:sz w:val="30"/>
        </w:rPr>
        <w:t>一、预算部门名称：</w:t>
      </w:r>
      <w:r>
        <w:rPr>
          <w:rFonts w:ascii="宋体" w:hAnsi="宋体" w:cs="宋体" w:hint="eastAsia"/>
          <w:sz w:val="24"/>
        </w:rPr>
        <w:t>中国共产党苏州市纪律检查委员会</w:t>
      </w:r>
    </w:p>
    <w:p w:rsidR="00F70DD5" w:rsidRDefault="00BE0E9A">
      <w:pPr>
        <w:spacing w:line="360" w:lineRule="auto"/>
        <w:ind w:firstLineChars="200" w:firstLine="600"/>
        <w:rPr>
          <w:rFonts w:ascii="黑体" w:eastAsia="黑体" w:hAnsi="黑体"/>
          <w:sz w:val="30"/>
        </w:rPr>
      </w:pPr>
      <w:r>
        <w:rPr>
          <w:rFonts w:ascii="黑体" w:eastAsia="黑体" w:hAnsi="黑体" w:hint="eastAsia"/>
          <w:sz w:val="30"/>
        </w:rPr>
        <w:t>二、</w:t>
      </w:r>
      <w:r>
        <w:rPr>
          <w:rFonts w:ascii="黑体" w:eastAsia="黑体" w:hAnsi="黑体"/>
          <w:sz w:val="30"/>
        </w:rPr>
        <w:t>年度履职目标完成情况</w:t>
      </w:r>
      <w:r>
        <w:rPr>
          <w:rFonts w:ascii="黑体" w:eastAsia="黑体" w:hAnsi="黑体" w:hint="eastAsia"/>
          <w:sz w:val="30"/>
        </w:rPr>
        <w:t>：</w:t>
      </w:r>
    </w:p>
    <w:p w:rsidR="00F70DD5" w:rsidRDefault="00BE0E9A">
      <w:pPr>
        <w:spacing w:line="360" w:lineRule="auto"/>
        <w:ind w:firstLineChars="200" w:firstLine="480"/>
        <w:rPr>
          <w:rFonts w:ascii="宋体" w:hAnsi="宋体" w:cs="宋体"/>
          <w:sz w:val="24"/>
        </w:rPr>
      </w:pPr>
      <w:r>
        <w:rPr>
          <w:rFonts w:ascii="宋体" w:hAnsi="宋体" w:cs="宋体" w:hint="eastAsia"/>
          <w:sz w:val="24"/>
        </w:rPr>
        <w:t>2023年，在省纪委监委和市委坚强领导下，市纪委监委坚持以习近平新时代中国特色社会主义思想为指导，深入学习贯彻党的二十大精神，认真落实中央纪委二次全会和省纪委三次全会部署，自觉接受主题教育、教育整顿锻造洗礼，坚定不移推动健全全面从严治党体系，持之以恒把党风廉政建设和反腐败斗争向纵深推进，为全面推进中国式现代化苏州新实践提供坚强保障。</w:t>
      </w:r>
    </w:p>
    <w:p w:rsidR="00F70DD5" w:rsidRDefault="00BE0E9A">
      <w:pPr>
        <w:spacing w:line="360" w:lineRule="auto"/>
        <w:ind w:left="600"/>
        <w:rPr>
          <w:rFonts w:ascii="黑体" w:eastAsia="黑体" w:hAnsi="黑体"/>
          <w:sz w:val="30"/>
        </w:rPr>
      </w:pPr>
      <w:r>
        <w:rPr>
          <w:rFonts w:ascii="黑体" w:eastAsia="黑体" w:hAnsi="黑体" w:hint="eastAsia"/>
          <w:sz w:val="30"/>
        </w:rPr>
        <w:t>三、部门（单位）概况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一、负责全市党的纪律检查工作。二、依照党章和其他党内法规履行监督、执纪、问责职责。三、负责全市监察工作。四、依照法律规定履行监督、调查、处置职责。五、负责组织协调全面从严治党、党风廉政建设和反腐败宣传教育工作。六、负责综合分析全面从严治党、党风廉政建设和反腐败工作情况，对纪检监察工作重点问题开展调查研究；制定或者修改纪检监察规范性文件，参与起草党风廉政建设和反腐败工作有关规定和规范性文件。七、负责组织协调全市反腐败追逃追赃、防逃控赃工作，督促有关单位做好相关工作。八、根据干部管理权限，负责全市纪检监察系统领导班子建设、干部队伍建设和组织建设的综合规划、政策研究、制度建设和业务指导；会同有关方面做好市纪委监委派驻（派出）机构、市（县）区纪检监察机关、市属企事业单位纪检监察机构领导班子建设，加强管理和考核；组织和指导纪检监察系统干部教育培训工作。九、完成上级纪委监委和市委交办的其他任务。</w:t>
      </w:r>
    </w:p>
    <w:p w:rsidR="00F70DD5" w:rsidRDefault="00BE0E9A">
      <w:pPr>
        <w:spacing w:line="360" w:lineRule="auto"/>
        <w:ind w:left="600"/>
        <w:rPr>
          <w:rFonts w:ascii="黑体" w:eastAsia="黑体" w:hAnsi="黑体"/>
          <w:sz w:val="30"/>
        </w:rPr>
      </w:pPr>
      <w:r>
        <w:rPr>
          <w:rFonts w:ascii="黑体" w:eastAsia="黑体" w:hAnsi="黑体" w:hint="eastAsia"/>
          <w:sz w:val="30"/>
        </w:rPr>
        <w:t>四、部门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整体支出绩效实现情况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 xml:space="preserve"> 1.部门管理情况：管理制度健全性、资金使用合规性、政府采购规范性、财务管理规范性、资产管理规范性、预决算信息公开规范性等符合内部控制制度、政府采购制度等制度要求。预算执行率较高，较好完成了预算执行目标。2.部门履职及效果情况总体完成情况较好。</w:t>
      </w:r>
    </w:p>
    <w:p w:rsidR="00F70DD5" w:rsidRDefault="00BE0E9A">
      <w:pPr>
        <w:spacing w:line="360" w:lineRule="auto"/>
        <w:ind w:left="600"/>
        <w:rPr>
          <w:rFonts w:ascii="黑体" w:eastAsia="黑体" w:hAnsi="黑体"/>
          <w:sz w:val="30"/>
        </w:rPr>
      </w:pPr>
      <w:r>
        <w:rPr>
          <w:rFonts w:ascii="黑体" w:eastAsia="黑体" w:hAnsi="黑体" w:hint="eastAsia"/>
          <w:sz w:val="30"/>
        </w:rPr>
        <w:lastRenderedPageBreak/>
        <w:t>五、部门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整体支出绩效中存</w:t>
      </w:r>
      <w:r>
        <w:rPr>
          <w:rFonts w:ascii="黑体" w:eastAsia="黑体" w:hAnsi="黑体"/>
          <w:sz w:val="30"/>
        </w:rPr>
        <w:t>在问题</w:t>
      </w:r>
      <w:r>
        <w:rPr>
          <w:rFonts w:ascii="黑体" w:eastAsia="黑体" w:hAnsi="黑体" w:hint="eastAsia"/>
          <w:sz w:val="30"/>
        </w:rPr>
        <w:t>及</w:t>
      </w:r>
      <w:r>
        <w:rPr>
          <w:rFonts w:ascii="黑体" w:eastAsia="黑体" w:hAnsi="黑体"/>
          <w:sz w:val="30"/>
        </w:rPr>
        <w:t>改进措施</w:t>
      </w:r>
    </w:p>
    <w:p w:rsidR="00F70DD5" w:rsidRDefault="00BE0E9A">
      <w:pPr>
        <w:spacing w:line="360" w:lineRule="auto"/>
        <w:ind w:firstLineChars="200" w:firstLine="480"/>
        <w:rPr>
          <w:rFonts w:ascii="宋体" w:hAnsi="宋体" w:cs="宋体"/>
          <w:sz w:val="24"/>
        </w:rPr>
      </w:pPr>
      <w:r>
        <w:rPr>
          <w:rFonts w:ascii="宋体" w:hAnsi="宋体" w:cs="宋体" w:hint="eastAsia"/>
          <w:sz w:val="24"/>
        </w:rPr>
        <w:t>已设定的绩效指标基本反映我委的工作情况，实际运用后部分指标还需进一步量化、细化，使评价指标进一步完善。</w:t>
      </w:r>
    </w:p>
    <w:p w:rsidR="00F70DD5" w:rsidRDefault="00BE0E9A">
      <w:pPr>
        <w:spacing w:line="360" w:lineRule="auto"/>
        <w:ind w:left="600"/>
        <w:rPr>
          <w:rFonts w:ascii="黑体" w:eastAsia="黑体" w:hAnsi="黑体"/>
          <w:sz w:val="30"/>
        </w:rPr>
      </w:pPr>
      <w:r>
        <w:rPr>
          <w:rFonts w:ascii="黑体" w:eastAsia="黑体" w:hAnsi="黑体" w:hint="eastAsia"/>
          <w:sz w:val="30"/>
        </w:rPr>
        <w:t>六、</w:t>
      </w:r>
      <w:r>
        <w:rPr>
          <w:rFonts w:ascii="黑体" w:eastAsia="黑体" w:hAnsi="黑体"/>
          <w:sz w:val="30"/>
        </w:rPr>
        <w:t>绩效自评</w:t>
      </w:r>
      <w:r>
        <w:rPr>
          <w:rFonts w:ascii="黑体" w:eastAsia="黑体" w:hAnsi="黑体" w:hint="eastAsia"/>
          <w:sz w:val="30"/>
        </w:rPr>
        <w:t>结果</w:t>
      </w:r>
      <w:r>
        <w:rPr>
          <w:rFonts w:ascii="黑体" w:eastAsia="黑体" w:hAnsi="黑体"/>
          <w:sz w:val="30"/>
        </w:rPr>
        <w:t>拟应用和公开</w:t>
      </w:r>
      <w:r>
        <w:rPr>
          <w:rFonts w:ascii="黑体" w:eastAsia="黑体" w:hAnsi="黑体" w:hint="eastAsia"/>
          <w:sz w:val="30"/>
        </w:rPr>
        <w:t>情况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我委将以绩效自评价结果作为预算编制的依据，进一步加强预算执行监督和绩效执行监督工作；将按照规定将绩效结果在财政公开网站和部门门户网站进行公开。</w:t>
      </w:r>
    </w:p>
    <w:p w:rsidR="00F70DD5" w:rsidRDefault="00F70DD5">
      <w:pPr>
        <w:spacing w:line="360" w:lineRule="auto"/>
        <w:rPr>
          <w:rFonts w:ascii="黑体" w:eastAsia="黑体" w:hAnsi="黑体"/>
          <w:sz w:val="30"/>
        </w:rPr>
        <w:sectPr w:rsidR="00F70DD5">
          <w:headerReference w:type="even" r:id="rId7"/>
          <w:headerReference w:type="default" r:id="rId8"/>
          <w:footerReference w:type="even" r:id="rId9"/>
          <w:footerReference w:type="default" r:id="rId10"/>
          <w:pgSz w:w="11907" w:h="16840"/>
          <w:pgMar w:top="1247" w:right="1400" w:bottom="1089" w:left="1559" w:header="851" w:footer="992" w:gutter="0"/>
          <w:paperSrc w:first="15" w:other="15"/>
          <w:cols w:space="720"/>
          <w:docGrid w:type="lines" w:linePitch="312"/>
        </w:sect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lastRenderedPageBreak/>
        <w:t>预算信息</w:t>
      </w:r>
    </w:p>
    <w:p w:rsidR="00F70DD5" w:rsidRDefault="00F70DD5">
      <w:pPr>
        <w:spacing w:line="360" w:lineRule="auto"/>
        <w:ind w:left="600"/>
        <w:rPr>
          <w:rFonts w:ascii="黑体" w:eastAsia="黑体" w:hAnsi="黑体"/>
          <w:sz w:val="30"/>
        </w:rPr>
      </w:pPr>
    </w:p>
    <w:tbl>
      <w:tblPr>
        <w:tblW w:w="1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9"/>
        <w:gridCol w:w="2268"/>
        <w:gridCol w:w="2268"/>
        <w:gridCol w:w="2268"/>
        <w:gridCol w:w="2268"/>
        <w:gridCol w:w="2268"/>
      </w:tblGrid>
      <w:tr w:rsidR="00F70DD5">
        <w:trPr>
          <w:trHeight w:val="339"/>
        </w:trPr>
        <w:tc>
          <w:tcPr>
            <w:tcW w:w="3079"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本年度预算资金（万元）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年初预算数（万元）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上年度结转及当年预算追加追减数(万元）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调整预算数（万元）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实际支出数（万元）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执行率（%)</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预算总金额</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15192.19</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1984.53</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17176.72</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16086.09</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93.65%</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基本支出</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14072.38</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1947.53</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16019.91</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15092.66</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94.21%</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项目支出</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1119.81</w:t>
            </w:r>
          </w:p>
        </w:tc>
        <w:tc>
          <w:tcPr>
            <w:tcW w:w="2268" w:type="dxa"/>
            <w:vAlign w:val="center"/>
          </w:tcPr>
          <w:p w:rsidR="00C5224A" w:rsidRPr="00C5224A" w:rsidRDefault="00E5753A" w:rsidP="00C5224A">
            <w:pPr>
              <w:widowControl/>
              <w:jc w:val="center"/>
              <w:rPr>
                <w:rFonts w:ascii="宋体" w:hAnsi="宋体" w:cs="宋体"/>
                <w:sz w:val="24"/>
              </w:rPr>
            </w:pPr>
            <w:r>
              <w:rPr>
                <w:rFonts w:ascii="宋体" w:hAnsi="宋体" w:cs="宋体" w:hint="eastAsia"/>
                <w:sz w:val="24"/>
              </w:rPr>
              <w:t>37</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1156.81</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993.43</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85.88%</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车辆购置费</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19.4</w:t>
            </w:r>
          </w:p>
        </w:tc>
        <w:tc>
          <w:tcPr>
            <w:tcW w:w="2268" w:type="dxa"/>
            <w:vAlign w:val="center"/>
          </w:tcPr>
          <w:p w:rsidR="00C5224A" w:rsidRPr="00C5224A" w:rsidRDefault="00C5224A" w:rsidP="00C5224A">
            <w:pPr>
              <w:widowControl/>
              <w:jc w:val="center"/>
              <w:rPr>
                <w:rFonts w:ascii="宋体" w:hAnsi="宋体" w:cs="宋体"/>
                <w:sz w:val="24"/>
              </w:rPr>
            </w:pP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19.4</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17.98</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92.68%</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党团活动经费</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28</w:t>
            </w:r>
          </w:p>
        </w:tc>
        <w:tc>
          <w:tcPr>
            <w:tcW w:w="2268" w:type="dxa"/>
            <w:vAlign w:val="center"/>
          </w:tcPr>
          <w:p w:rsidR="00C5224A" w:rsidRPr="00C5224A" w:rsidRDefault="00C5224A" w:rsidP="00C5224A">
            <w:pPr>
              <w:widowControl/>
              <w:jc w:val="center"/>
              <w:rPr>
                <w:rFonts w:ascii="宋体" w:hAnsi="宋体" w:cs="宋体"/>
                <w:sz w:val="24"/>
              </w:rPr>
            </w:pP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28</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11.53</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41.18%</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会议费</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20</w:t>
            </w:r>
          </w:p>
        </w:tc>
        <w:tc>
          <w:tcPr>
            <w:tcW w:w="2268" w:type="dxa"/>
            <w:vAlign w:val="center"/>
          </w:tcPr>
          <w:p w:rsidR="00C5224A" w:rsidRPr="00C5224A" w:rsidRDefault="00C5224A" w:rsidP="00C5224A">
            <w:pPr>
              <w:widowControl/>
              <w:jc w:val="center"/>
              <w:rPr>
                <w:rFonts w:ascii="宋体" w:hAnsi="宋体" w:cs="宋体"/>
                <w:sz w:val="24"/>
              </w:rPr>
            </w:pP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20</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18.76</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93.80%</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会议室多媒体设备维护专项经费</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6</w:t>
            </w:r>
          </w:p>
        </w:tc>
        <w:tc>
          <w:tcPr>
            <w:tcW w:w="2268" w:type="dxa"/>
            <w:vAlign w:val="center"/>
          </w:tcPr>
          <w:p w:rsidR="00C5224A" w:rsidRPr="00C5224A" w:rsidRDefault="00C5224A" w:rsidP="00C5224A">
            <w:pPr>
              <w:widowControl/>
              <w:jc w:val="center"/>
              <w:rPr>
                <w:rFonts w:ascii="宋体" w:hAnsi="宋体" w:cs="宋体"/>
                <w:sz w:val="24"/>
              </w:rPr>
            </w:pP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6</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6</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100.00%</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技术保障服务及设备采购</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119.8</w:t>
            </w:r>
          </w:p>
        </w:tc>
        <w:tc>
          <w:tcPr>
            <w:tcW w:w="2268" w:type="dxa"/>
            <w:vAlign w:val="center"/>
          </w:tcPr>
          <w:p w:rsidR="00C5224A" w:rsidRPr="00C5224A" w:rsidRDefault="00C5224A" w:rsidP="00C5224A">
            <w:pPr>
              <w:widowControl/>
              <w:jc w:val="center"/>
              <w:rPr>
                <w:rFonts w:ascii="宋体" w:hAnsi="宋体" w:cs="宋体"/>
                <w:sz w:val="24"/>
              </w:rPr>
            </w:pP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119.8</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54.12</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45.18%</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纪检监察信访渠道第三方暗访及社调经费</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16</w:t>
            </w:r>
          </w:p>
        </w:tc>
        <w:tc>
          <w:tcPr>
            <w:tcW w:w="2268" w:type="dxa"/>
            <w:vAlign w:val="center"/>
          </w:tcPr>
          <w:p w:rsidR="00C5224A" w:rsidRPr="00C5224A" w:rsidRDefault="00C5224A" w:rsidP="00C5224A">
            <w:pPr>
              <w:widowControl/>
              <w:jc w:val="center"/>
              <w:rPr>
                <w:rFonts w:ascii="宋体" w:hAnsi="宋体" w:cs="宋体"/>
                <w:sz w:val="24"/>
              </w:rPr>
            </w:pP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16</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12.43</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77.69%</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况公祠运维费</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84</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-8</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76</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71.23</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93.72%</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苏州廉政建设与行政效能研究所日常运行经费</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13</w:t>
            </w:r>
          </w:p>
        </w:tc>
        <w:tc>
          <w:tcPr>
            <w:tcW w:w="2268" w:type="dxa"/>
            <w:vAlign w:val="center"/>
          </w:tcPr>
          <w:p w:rsidR="00C5224A" w:rsidRPr="00C5224A" w:rsidRDefault="00C5224A" w:rsidP="00C5224A">
            <w:pPr>
              <w:widowControl/>
              <w:jc w:val="center"/>
              <w:rPr>
                <w:rFonts w:ascii="宋体" w:hAnsi="宋体" w:cs="宋体"/>
                <w:sz w:val="24"/>
              </w:rPr>
            </w:pP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13</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13</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100.00%</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lastRenderedPageBreak/>
              <w:t>体检疗养费</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69.28</w:t>
            </w:r>
          </w:p>
        </w:tc>
        <w:tc>
          <w:tcPr>
            <w:tcW w:w="2268" w:type="dxa"/>
            <w:vAlign w:val="center"/>
          </w:tcPr>
          <w:p w:rsidR="00C5224A" w:rsidRPr="00C5224A" w:rsidRDefault="00C5224A" w:rsidP="00C5224A">
            <w:pPr>
              <w:widowControl/>
              <w:jc w:val="center"/>
              <w:rPr>
                <w:rFonts w:ascii="宋体" w:hAnsi="宋体" w:cs="宋体"/>
                <w:sz w:val="24"/>
              </w:rPr>
            </w:pP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69.28</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69.28</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100.00%</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信息化系统运维费</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92</w:t>
            </w:r>
          </w:p>
        </w:tc>
        <w:tc>
          <w:tcPr>
            <w:tcW w:w="2268" w:type="dxa"/>
            <w:vAlign w:val="center"/>
          </w:tcPr>
          <w:p w:rsidR="00C5224A" w:rsidRPr="00C5224A" w:rsidRDefault="00C5224A" w:rsidP="00C5224A">
            <w:pPr>
              <w:widowControl/>
              <w:jc w:val="center"/>
              <w:rPr>
                <w:rFonts w:ascii="宋体" w:hAnsi="宋体" w:cs="宋体"/>
                <w:sz w:val="24"/>
              </w:rPr>
            </w:pP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92</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82.5</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89.67%</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巡察工作专项经费</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376.2</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45</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421.2</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419.4</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99.57%</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专项档案整理保管费</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14</w:t>
            </w:r>
          </w:p>
        </w:tc>
        <w:tc>
          <w:tcPr>
            <w:tcW w:w="2268" w:type="dxa"/>
            <w:vAlign w:val="center"/>
          </w:tcPr>
          <w:p w:rsidR="00C5224A" w:rsidRPr="00C5224A" w:rsidRDefault="00C5224A" w:rsidP="00C5224A">
            <w:pPr>
              <w:widowControl/>
              <w:jc w:val="center"/>
              <w:rPr>
                <w:rFonts w:ascii="宋体" w:hAnsi="宋体" w:cs="宋体"/>
                <w:sz w:val="24"/>
              </w:rPr>
            </w:pP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14</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14</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100.00%</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专项宣传广告费</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156</w:t>
            </w:r>
          </w:p>
        </w:tc>
        <w:tc>
          <w:tcPr>
            <w:tcW w:w="2268" w:type="dxa"/>
            <w:vAlign w:val="center"/>
          </w:tcPr>
          <w:p w:rsidR="00C5224A" w:rsidRPr="00C5224A" w:rsidRDefault="00C5224A" w:rsidP="00C5224A">
            <w:pPr>
              <w:widowControl/>
              <w:jc w:val="center"/>
              <w:rPr>
                <w:rFonts w:ascii="宋体" w:hAnsi="宋体" w:cs="宋体"/>
                <w:sz w:val="24"/>
              </w:rPr>
            </w:pP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156</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156</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100.00%</w:t>
            </w:r>
          </w:p>
        </w:tc>
      </w:tr>
      <w:tr w:rsidR="00C5224A">
        <w:trPr>
          <w:trHeight w:val="540"/>
        </w:trPr>
        <w:tc>
          <w:tcPr>
            <w:tcW w:w="3079" w:type="dxa"/>
            <w:vAlign w:val="center"/>
          </w:tcPr>
          <w:p w:rsidR="00C5224A" w:rsidRDefault="00C5224A">
            <w:pPr>
              <w:widowControl/>
              <w:jc w:val="left"/>
              <w:rPr>
                <w:rFonts w:ascii="宋体" w:hAnsi="宋体" w:cs="宋体"/>
                <w:kern w:val="0"/>
                <w:sz w:val="24"/>
              </w:rPr>
            </w:pPr>
            <w:r>
              <w:rPr>
                <w:rFonts w:ascii="宋体" w:hAnsi="宋体" w:cs="宋体" w:hint="eastAsia"/>
                <w:sz w:val="24"/>
              </w:rPr>
              <w:t>专项培训费</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106.13</w:t>
            </w:r>
          </w:p>
        </w:tc>
        <w:tc>
          <w:tcPr>
            <w:tcW w:w="2268" w:type="dxa"/>
            <w:vAlign w:val="center"/>
          </w:tcPr>
          <w:p w:rsidR="00C5224A" w:rsidRPr="00C5224A" w:rsidRDefault="00C5224A" w:rsidP="00C5224A">
            <w:pPr>
              <w:widowControl/>
              <w:jc w:val="center"/>
              <w:rPr>
                <w:rFonts w:ascii="宋体" w:hAnsi="宋体" w:cs="宋体"/>
                <w:sz w:val="24"/>
              </w:rPr>
            </w:pP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106.13</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47.2</w:t>
            </w:r>
          </w:p>
        </w:tc>
        <w:tc>
          <w:tcPr>
            <w:tcW w:w="2268" w:type="dxa"/>
            <w:vAlign w:val="center"/>
          </w:tcPr>
          <w:p w:rsidR="00C5224A" w:rsidRPr="00C5224A" w:rsidRDefault="00C5224A" w:rsidP="00C5224A">
            <w:pPr>
              <w:widowControl/>
              <w:jc w:val="center"/>
              <w:rPr>
                <w:rFonts w:ascii="宋体" w:hAnsi="宋体" w:cs="宋体"/>
                <w:sz w:val="24"/>
              </w:rPr>
            </w:pPr>
            <w:r w:rsidRPr="00C5224A">
              <w:rPr>
                <w:rFonts w:ascii="宋体" w:hAnsi="宋体" w:cs="宋体" w:hint="eastAsia"/>
                <w:sz w:val="24"/>
              </w:rPr>
              <w:t>44.47%</w:t>
            </w:r>
          </w:p>
        </w:tc>
      </w:tr>
    </w:tbl>
    <w:p w:rsidR="00F70DD5" w:rsidRDefault="00F70DD5">
      <w:pPr>
        <w:spacing w:line="360" w:lineRule="auto"/>
        <w:ind w:left="600"/>
        <w:rPr>
          <w:rFonts w:ascii="黑体" w:eastAsia="黑体" w:hAnsi="黑体"/>
          <w:sz w:val="30"/>
        </w:r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t>年度重点任务</w:t>
      </w:r>
    </w:p>
    <w:p w:rsidR="00F70DD5" w:rsidRDefault="00F70DD5">
      <w:pPr>
        <w:spacing w:line="360" w:lineRule="auto"/>
        <w:ind w:left="600"/>
        <w:rPr>
          <w:rFonts w:ascii="黑体" w:eastAsia="黑体" w:hAnsi="黑体"/>
          <w:sz w:val="30"/>
        </w:rPr>
      </w:pPr>
    </w:p>
    <w:tbl>
      <w:tblPr>
        <w:tblW w:w="13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9"/>
        <w:gridCol w:w="3818"/>
        <w:gridCol w:w="6280"/>
      </w:tblGrid>
      <w:tr w:rsidR="00693D54" w:rsidTr="00F97F4B">
        <w:trPr>
          <w:trHeight w:val="339"/>
        </w:trPr>
        <w:tc>
          <w:tcPr>
            <w:tcW w:w="3419" w:type="dxa"/>
            <w:shd w:val="clear" w:color="000000" w:fill="BFBFBF"/>
            <w:vAlign w:val="center"/>
          </w:tcPr>
          <w:p w:rsidR="00693D54" w:rsidRDefault="00693D54">
            <w:pPr>
              <w:widowControl/>
              <w:jc w:val="center"/>
              <w:rPr>
                <w:rFonts w:ascii="宋体" w:hAnsi="宋体" w:cs="宋体"/>
                <w:b/>
                <w:bCs/>
                <w:kern w:val="0"/>
                <w:sz w:val="24"/>
              </w:rPr>
            </w:pPr>
          </w:p>
          <w:p w:rsidR="00693D54" w:rsidRDefault="00693D54">
            <w:pPr>
              <w:widowControl/>
              <w:jc w:val="center"/>
              <w:rPr>
                <w:rFonts w:ascii="宋体" w:hAnsi="宋体" w:cs="宋体"/>
                <w:b/>
                <w:bCs/>
                <w:kern w:val="0"/>
                <w:sz w:val="24"/>
              </w:rPr>
            </w:pPr>
            <w:r>
              <w:rPr>
                <w:rFonts w:ascii="宋体" w:hAnsi="宋体" w:cs="宋体" w:hint="eastAsia"/>
                <w:b/>
                <w:bCs/>
                <w:kern w:val="0"/>
                <w:sz w:val="24"/>
              </w:rPr>
              <w:t>对应部门主要职责</w:t>
            </w:r>
          </w:p>
          <w:p w:rsidR="00693D54" w:rsidRDefault="00693D54">
            <w:pPr>
              <w:widowControl/>
              <w:jc w:val="center"/>
              <w:rPr>
                <w:rFonts w:ascii="宋体" w:hAnsi="宋体" w:cs="宋体"/>
                <w:b/>
                <w:bCs/>
                <w:kern w:val="0"/>
                <w:sz w:val="24"/>
              </w:rPr>
            </w:pPr>
          </w:p>
        </w:tc>
        <w:tc>
          <w:tcPr>
            <w:tcW w:w="3818" w:type="dxa"/>
            <w:shd w:val="clear" w:color="000000" w:fill="BFBFBF"/>
            <w:vAlign w:val="center"/>
          </w:tcPr>
          <w:p w:rsidR="00693D54" w:rsidRDefault="00693D54">
            <w:pPr>
              <w:widowControl/>
              <w:jc w:val="center"/>
              <w:rPr>
                <w:rFonts w:ascii="宋体" w:hAnsi="宋体" w:cs="宋体"/>
                <w:b/>
                <w:bCs/>
                <w:kern w:val="0"/>
                <w:sz w:val="24"/>
              </w:rPr>
            </w:pPr>
            <w:r>
              <w:rPr>
                <w:rFonts w:ascii="宋体" w:hAnsi="宋体" w:cs="宋体" w:hint="eastAsia"/>
                <w:b/>
                <w:bCs/>
                <w:kern w:val="0"/>
                <w:sz w:val="24"/>
              </w:rPr>
              <w:t>任务名称</w:t>
            </w:r>
          </w:p>
        </w:tc>
        <w:tc>
          <w:tcPr>
            <w:tcW w:w="6280" w:type="dxa"/>
            <w:shd w:val="clear" w:color="000000" w:fill="BFBFBF"/>
            <w:vAlign w:val="center"/>
          </w:tcPr>
          <w:p w:rsidR="00693D54" w:rsidRDefault="00693D54">
            <w:pPr>
              <w:widowControl/>
              <w:jc w:val="center"/>
              <w:rPr>
                <w:rFonts w:ascii="宋体" w:hAnsi="宋体" w:cs="宋体"/>
                <w:b/>
                <w:bCs/>
                <w:kern w:val="0"/>
                <w:sz w:val="24"/>
              </w:rPr>
            </w:pPr>
            <w:r>
              <w:rPr>
                <w:rFonts w:ascii="宋体" w:hAnsi="宋体" w:cs="宋体" w:hint="eastAsia"/>
                <w:b/>
                <w:bCs/>
                <w:kern w:val="0"/>
                <w:sz w:val="24"/>
              </w:rPr>
              <w:t>完成情况</w:t>
            </w:r>
          </w:p>
        </w:tc>
      </w:tr>
      <w:tr w:rsidR="00173F1C">
        <w:trPr>
          <w:trHeight w:val="608"/>
        </w:trPr>
        <w:tc>
          <w:tcPr>
            <w:tcW w:w="3419" w:type="dxa"/>
            <w:vAlign w:val="center"/>
          </w:tcPr>
          <w:p w:rsidR="00173F1C" w:rsidRDefault="00A27A16">
            <w:pPr>
              <w:widowControl/>
              <w:jc w:val="center"/>
              <w:rPr>
                <w:rFonts w:ascii="宋体" w:hAnsi="宋体" w:cs="宋体"/>
                <w:kern w:val="0"/>
                <w:sz w:val="24"/>
              </w:rPr>
            </w:pPr>
            <w:r>
              <w:rPr>
                <w:rFonts w:ascii="宋体" w:hAnsi="宋体" w:cs="宋体" w:hint="eastAsia"/>
                <w:sz w:val="24"/>
              </w:rPr>
              <w:t>廉洁文化建设</w:t>
            </w:r>
          </w:p>
        </w:tc>
        <w:tc>
          <w:tcPr>
            <w:tcW w:w="3818" w:type="dxa"/>
            <w:vAlign w:val="center"/>
          </w:tcPr>
          <w:p w:rsidR="00173F1C" w:rsidRDefault="00A27A16">
            <w:pPr>
              <w:widowControl/>
              <w:jc w:val="center"/>
              <w:rPr>
                <w:rFonts w:ascii="宋体" w:hAnsi="宋体" w:cs="宋体"/>
                <w:sz w:val="24"/>
              </w:rPr>
            </w:pPr>
            <w:r>
              <w:rPr>
                <w:rFonts w:ascii="宋体" w:hAnsi="宋体" w:cs="宋体" w:hint="eastAsia"/>
                <w:sz w:val="24"/>
              </w:rPr>
              <w:t>将廉洁文化建设作为一体推进“三不”的重要抓手，在品牌塑造、产品供给、教育传播等方面创新实践探索,把廉洁文化建设情况作为重要内容。一是坚持品牌引领，协助党委科学谋划推进。融入“江南文化”品牌塑造，精心打造“廉石”品牌，引领各市（区）深挖本地特</w:t>
            </w:r>
            <w:r>
              <w:rPr>
                <w:rFonts w:ascii="宋体" w:hAnsi="宋体" w:cs="宋体" w:hint="eastAsia"/>
                <w:sz w:val="24"/>
              </w:rPr>
              <w:lastRenderedPageBreak/>
              <w:t>色、走好精品路线，上下联动构建廉洁文化品牌集群。二是融入地域特色，强化廉洁文化产品供给。建好用好全省首家干部政德教育基地况公祠和市党风廉政警示教育基地，将全市廉洁文化阵地串点成线、集成展示。融入昆曲、苏剧、评弹等地方艺术形式，创作一批清廉主题诗书刊、影剧片。三是把准需求导向，开展特色教育实践活动。加强领导干部家风教育，用身边事警示身边人，在政法、宣传、党校等系统开展专题警示教育，明确领导干部思想红线、行为界限。四是着眼全域覆盖，拓展廉洁文化浸润空间。积极推动廉洁文化走向社会，将廉洁文化有机融入文明城市创建、美丽乡村建设、亲清政商关系构建等领域，因地制宜建设廉洁文化公共空间，推动崇廉拒腐、尚俭戒奢等理念成为全社会的自觉。</w:t>
            </w:r>
          </w:p>
        </w:tc>
        <w:tc>
          <w:tcPr>
            <w:tcW w:w="6280" w:type="dxa"/>
            <w:vAlign w:val="center"/>
          </w:tcPr>
          <w:p w:rsidR="00173F1C" w:rsidRDefault="00A27A16">
            <w:pPr>
              <w:widowControl/>
              <w:jc w:val="center"/>
              <w:rPr>
                <w:rFonts w:ascii="宋体" w:hAnsi="宋体" w:cs="宋体"/>
                <w:sz w:val="24"/>
              </w:rPr>
            </w:pPr>
            <w:r>
              <w:rPr>
                <w:rFonts w:ascii="宋体" w:hAnsi="宋体" w:cs="宋体" w:hint="eastAsia"/>
                <w:sz w:val="24"/>
              </w:rPr>
              <w:lastRenderedPageBreak/>
              <w:t>已完成</w:t>
            </w:r>
          </w:p>
        </w:tc>
      </w:tr>
      <w:tr w:rsidR="00173F1C">
        <w:trPr>
          <w:trHeight w:val="608"/>
        </w:trPr>
        <w:tc>
          <w:tcPr>
            <w:tcW w:w="3419" w:type="dxa"/>
            <w:vAlign w:val="center"/>
          </w:tcPr>
          <w:p w:rsidR="00173F1C" w:rsidRDefault="00A27A16">
            <w:pPr>
              <w:widowControl/>
              <w:jc w:val="center"/>
              <w:rPr>
                <w:rFonts w:ascii="宋体" w:hAnsi="宋体" w:cs="宋体"/>
                <w:kern w:val="0"/>
                <w:sz w:val="24"/>
              </w:rPr>
            </w:pPr>
            <w:r>
              <w:rPr>
                <w:rFonts w:ascii="宋体" w:hAnsi="宋体" w:cs="宋体" w:hint="eastAsia"/>
                <w:sz w:val="24"/>
              </w:rPr>
              <w:lastRenderedPageBreak/>
              <w:t>人员队伍素质提升</w:t>
            </w:r>
          </w:p>
        </w:tc>
        <w:tc>
          <w:tcPr>
            <w:tcW w:w="3818" w:type="dxa"/>
            <w:vAlign w:val="center"/>
          </w:tcPr>
          <w:p w:rsidR="00173F1C" w:rsidRDefault="00A27A16">
            <w:pPr>
              <w:widowControl/>
              <w:jc w:val="center"/>
              <w:rPr>
                <w:rFonts w:ascii="宋体" w:hAnsi="宋体" w:cs="宋体"/>
                <w:sz w:val="24"/>
              </w:rPr>
            </w:pPr>
            <w:r>
              <w:rPr>
                <w:rFonts w:ascii="宋体" w:hAnsi="宋体" w:cs="宋体" w:hint="eastAsia"/>
                <w:sz w:val="24"/>
              </w:rPr>
              <w:t>加强纪检监察干部思想淬炼、政治历练、实践锻炼、专业训练，严格落实监察官法要求，努力锻造一支政治素质高、忠诚干净担当、专业化能力强、敢于善于斗争的纪检监察队伍。坚持好干部标准，选配各方面优秀人才，健全完善考核评价</w:t>
            </w:r>
            <w:r>
              <w:rPr>
                <w:rFonts w:ascii="宋体" w:hAnsi="宋体" w:cs="宋体" w:hint="eastAsia"/>
                <w:sz w:val="24"/>
              </w:rPr>
              <w:lastRenderedPageBreak/>
              <w:t>体系。进一步深化全员培训，提升纪检监察干部综合素质和精准监督执纪执法本领。</w:t>
            </w:r>
          </w:p>
        </w:tc>
        <w:tc>
          <w:tcPr>
            <w:tcW w:w="6280" w:type="dxa"/>
            <w:vAlign w:val="center"/>
          </w:tcPr>
          <w:p w:rsidR="00173F1C" w:rsidRDefault="00A27A16">
            <w:pPr>
              <w:widowControl/>
              <w:jc w:val="center"/>
              <w:rPr>
                <w:rFonts w:ascii="宋体" w:hAnsi="宋体" w:cs="宋体"/>
                <w:sz w:val="24"/>
              </w:rPr>
            </w:pPr>
            <w:r>
              <w:rPr>
                <w:rFonts w:ascii="宋体" w:hAnsi="宋体" w:cs="宋体" w:hint="eastAsia"/>
                <w:sz w:val="24"/>
              </w:rPr>
              <w:lastRenderedPageBreak/>
              <w:t>已完成</w:t>
            </w:r>
          </w:p>
        </w:tc>
      </w:tr>
      <w:tr w:rsidR="00173F1C">
        <w:trPr>
          <w:trHeight w:val="608"/>
        </w:trPr>
        <w:tc>
          <w:tcPr>
            <w:tcW w:w="3419" w:type="dxa"/>
            <w:vAlign w:val="center"/>
          </w:tcPr>
          <w:p w:rsidR="00173F1C" w:rsidRDefault="00A27A16">
            <w:pPr>
              <w:widowControl/>
              <w:jc w:val="center"/>
              <w:rPr>
                <w:rFonts w:ascii="宋体" w:hAnsi="宋体" w:cs="宋体"/>
                <w:kern w:val="0"/>
                <w:sz w:val="24"/>
              </w:rPr>
            </w:pPr>
            <w:r>
              <w:rPr>
                <w:rFonts w:ascii="宋体" w:hAnsi="宋体" w:cs="宋体" w:hint="eastAsia"/>
                <w:sz w:val="24"/>
              </w:rPr>
              <w:lastRenderedPageBreak/>
              <w:t>深化政治巡察</w:t>
            </w:r>
          </w:p>
        </w:tc>
        <w:tc>
          <w:tcPr>
            <w:tcW w:w="3818" w:type="dxa"/>
            <w:vAlign w:val="center"/>
          </w:tcPr>
          <w:p w:rsidR="00173F1C" w:rsidRDefault="00A27A16">
            <w:pPr>
              <w:widowControl/>
              <w:jc w:val="center"/>
              <w:rPr>
                <w:rFonts w:ascii="宋体" w:hAnsi="宋体" w:cs="宋体"/>
                <w:sz w:val="24"/>
              </w:rPr>
            </w:pPr>
            <w:r>
              <w:rPr>
                <w:rFonts w:ascii="宋体" w:hAnsi="宋体" w:cs="宋体" w:hint="eastAsia"/>
                <w:sz w:val="24"/>
              </w:rPr>
              <w:t>1. 持续深化政治巡察。胸怀“国之大者”，聚焦“两个维护”根本任务，紧盯领导班子特别是“一把手”，把各级党组织学习贯彻党的二十大精神摆在首位，加强对党中央和省市重大决策部署落实情况的监督检查，以巡察监督新成效助力廉洁苏州建设。2. 深入推进巡察上下联动。抓好常规巡察，采用多种组织形式推动行业或系统巡察，着力查找并推动解决影响发展的体制性障碍和机制性梗阻，加大巡中成案力度，彰显巡察监督威慑力。加强巡察监督与纪律监督、监察监督、派驻监督等各类监督的统筹衔接和贯通融合，健全完善信息互通、成果共享、专业支持等协作机制，进一步凝聚监督合力。3. 强化巡察整改落实和成果运用。深入贯彻中央和省委、市委关于巡视巡察整改和成果运用的部署要求，认真履行巡察机构统筹督促责任，推动职能部门进一步加强整改日常监督、用好巡察成果，积极探索推进整改评估。加强对巡察整改落实情况的监督检</w:t>
            </w:r>
            <w:r>
              <w:rPr>
                <w:rFonts w:ascii="宋体" w:hAnsi="宋体" w:cs="宋体" w:hint="eastAsia"/>
                <w:sz w:val="24"/>
              </w:rPr>
              <w:lastRenderedPageBreak/>
              <w:t>查，适时组织专项督查。4. 持续提升巡察队伍能力素质。进一步推动巡察干部“横向轮岗”“上挂下派”“以干代训”，分级分类组织开展培训，引导巡察干部不断提高政治能力，强化政治担当。健全完善巡察制度体系，规范巡察准备、巡察进驻、巡察反馈、巡察整改业务流程，确保巡察工作经得起实践、人民、历史检验。</w:t>
            </w:r>
          </w:p>
        </w:tc>
        <w:tc>
          <w:tcPr>
            <w:tcW w:w="6280" w:type="dxa"/>
            <w:vAlign w:val="center"/>
          </w:tcPr>
          <w:p w:rsidR="00173F1C" w:rsidRDefault="00A27A16">
            <w:pPr>
              <w:widowControl/>
              <w:jc w:val="center"/>
              <w:rPr>
                <w:rFonts w:ascii="宋体" w:hAnsi="宋体" w:cs="宋体"/>
                <w:sz w:val="24"/>
              </w:rPr>
            </w:pPr>
            <w:r>
              <w:rPr>
                <w:rFonts w:ascii="宋体" w:hAnsi="宋体" w:cs="宋体" w:hint="eastAsia"/>
                <w:sz w:val="24"/>
              </w:rPr>
              <w:lastRenderedPageBreak/>
              <w:t>已完成</w:t>
            </w:r>
          </w:p>
        </w:tc>
      </w:tr>
      <w:tr w:rsidR="00173F1C">
        <w:trPr>
          <w:trHeight w:val="608"/>
        </w:trPr>
        <w:tc>
          <w:tcPr>
            <w:tcW w:w="3419" w:type="dxa"/>
            <w:vAlign w:val="center"/>
          </w:tcPr>
          <w:p w:rsidR="00173F1C" w:rsidRDefault="00A27A16">
            <w:pPr>
              <w:widowControl/>
              <w:jc w:val="center"/>
              <w:rPr>
                <w:rFonts w:ascii="宋体" w:hAnsi="宋体" w:cs="宋体"/>
                <w:kern w:val="0"/>
                <w:sz w:val="24"/>
              </w:rPr>
            </w:pPr>
            <w:r>
              <w:rPr>
                <w:rFonts w:ascii="宋体" w:hAnsi="宋体" w:cs="宋体" w:hint="eastAsia"/>
                <w:sz w:val="24"/>
              </w:rPr>
              <w:lastRenderedPageBreak/>
              <w:t>审查调查</w:t>
            </w:r>
          </w:p>
        </w:tc>
        <w:tc>
          <w:tcPr>
            <w:tcW w:w="3818" w:type="dxa"/>
            <w:vAlign w:val="center"/>
          </w:tcPr>
          <w:p w:rsidR="00173F1C" w:rsidRDefault="00A27A16">
            <w:pPr>
              <w:widowControl/>
              <w:jc w:val="center"/>
              <w:rPr>
                <w:rFonts w:ascii="宋体" w:hAnsi="宋体" w:cs="宋体"/>
                <w:sz w:val="24"/>
              </w:rPr>
            </w:pPr>
            <w:r>
              <w:rPr>
                <w:rFonts w:ascii="宋体" w:hAnsi="宋体" w:cs="宋体" w:hint="eastAsia"/>
                <w:sz w:val="24"/>
              </w:rPr>
              <w:t>1.把严的主基调长期坚持下去，一刻不停推进党风廉政建设和反腐败斗争，惩治震慑、制度约束、提高觉悟一体发力，实现政治效果、纪法效果、社会效果的融合和最大化。2. 深化整治群众身边的腐败和作风问题，推动更好解决群众“急难愁盼”，健全损害群众利益问题治理机制，持之以恒治“四风”树新风。3.坚持实事求是、依规依纪依法，坚持惩前毖后、治病救人，深化运用“四种形态”。4.确保审查调查和办案场所防疫“两个安全”，统筹做好办案和疫情防控工作。5. 持续开展追逃追赃“天网行动”。</w:t>
            </w:r>
          </w:p>
        </w:tc>
        <w:tc>
          <w:tcPr>
            <w:tcW w:w="6280" w:type="dxa"/>
            <w:vAlign w:val="center"/>
          </w:tcPr>
          <w:p w:rsidR="00173F1C" w:rsidRDefault="00A27A16">
            <w:pPr>
              <w:widowControl/>
              <w:jc w:val="center"/>
              <w:rPr>
                <w:rFonts w:ascii="宋体" w:hAnsi="宋体" w:cs="宋体"/>
                <w:sz w:val="24"/>
              </w:rPr>
            </w:pPr>
            <w:r>
              <w:rPr>
                <w:rFonts w:ascii="宋体" w:hAnsi="宋体" w:cs="宋体" w:hint="eastAsia"/>
                <w:sz w:val="24"/>
              </w:rPr>
              <w:t>已完成</w:t>
            </w:r>
          </w:p>
        </w:tc>
      </w:tr>
      <w:tr w:rsidR="00173F1C">
        <w:trPr>
          <w:trHeight w:val="608"/>
        </w:trPr>
        <w:tc>
          <w:tcPr>
            <w:tcW w:w="3419" w:type="dxa"/>
            <w:vAlign w:val="center"/>
          </w:tcPr>
          <w:p w:rsidR="00173F1C" w:rsidRDefault="00A27A16">
            <w:pPr>
              <w:widowControl/>
              <w:jc w:val="center"/>
              <w:rPr>
                <w:rFonts w:ascii="宋体" w:hAnsi="宋体" w:cs="宋体"/>
                <w:kern w:val="0"/>
                <w:sz w:val="24"/>
              </w:rPr>
            </w:pPr>
            <w:r>
              <w:rPr>
                <w:rFonts w:ascii="宋体" w:hAnsi="宋体" w:cs="宋体" w:hint="eastAsia"/>
                <w:sz w:val="24"/>
              </w:rPr>
              <w:t>信访举报受理</w:t>
            </w:r>
          </w:p>
        </w:tc>
        <w:tc>
          <w:tcPr>
            <w:tcW w:w="3818" w:type="dxa"/>
            <w:vAlign w:val="center"/>
          </w:tcPr>
          <w:p w:rsidR="00173F1C" w:rsidRDefault="00A27A16">
            <w:pPr>
              <w:widowControl/>
              <w:jc w:val="center"/>
              <w:rPr>
                <w:rFonts w:ascii="宋体" w:hAnsi="宋体" w:cs="宋体"/>
                <w:sz w:val="24"/>
              </w:rPr>
            </w:pPr>
            <w:r>
              <w:rPr>
                <w:rFonts w:ascii="宋体" w:hAnsi="宋体" w:cs="宋体" w:hint="eastAsia"/>
                <w:sz w:val="24"/>
              </w:rPr>
              <w:t>1.加强和改进信访举报受理办理工作，全力服务监督执纪问责。2.围绕政治生态分析研判，切实提高信</w:t>
            </w:r>
            <w:r>
              <w:rPr>
                <w:rFonts w:ascii="宋体" w:hAnsi="宋体" w:cs="宋体" w:hint="eastAsia"/>
                <w:sz w:val="24"/>
              </w:rPr>
              <w:lastRenderedPageBreak/>
              <w:t>访举报分析的层次和水平。3.扎实做好来访接待工作，进一步规范信访举报秩序。4.以检举举报平台建设为牵引，加强纪检监察业务平台、大数据平台等信息化应用，为纪检监察工作深入开展提供有力支撑。</w:t>
            </w:r>
          </w:p>
        </w:tc>
        <w:tc>
          <w:tcPr>
            <w:tcW w:w="6280" w:type="dxa"/>
            <w:vAlign w:val="center"/>
          </w:tcPr>
          <w:p w:rsidR="00173F1C" w:rsidRDefault="00A27A16">
            <w:pPr>
              <w:widowControl/>
              <w:jc w:val="center"/>
              <w:rPr>
                <w:rFonts w:ascii="宋体" w:hAnsi="宋体" w:cs="宋体"/>
                <w:sz w:val="24"/>
              </w:rPr>
            </w:pPr>
            <w:r>
              <w:rPr>
                <w:rFonts w:ascii="宋体" w:hAnsi="宋体" w:cs="宋体" w:hint="eastAsia"/>
                <w:sz w:val="24"/>
              </w:rPr>
              <w:lastRenderedPageBreak/>
              <w:t>已完成</w:t>
            </w:r>
          </w:p>
        </w:tc>
      </w:tr>
      <w:tr w:rsidR="00173F1C">
        <w:trPr>
          <w:trHeight w:val="608"/>
        </w:trPr>
        <w:tc>
          <w:tcPr>
            <w:tcW w:w="3419" w:type="dxa"/>
            <w:vAlign w:val="center"/>
          </w:tcPr>
          <w:p w:rsidR="00173F1C" w:rsidRDefault="00A27A16">
            <w:pPr>
              <w:widowControl/>
              <w:jc w:val="center"/>
              <w:rPr>
                <w:rFonts w:ascii="宋体" w:hAnsi="宋体" w:cs="宋体"/>
                <w:kern w:val="0"/>
                <w:sz w:val="24"/>
              </w:rPr>
            </w:pPr>
            <w:r>
              <w:rPr>
                <w:rFonts w:ascii="宋体" w:hAnsi="宋体" w:cs="宋体" w:hint="eastAsia"/>
                <w:sz w:val="24"/>
              </w:rPr>
              <w:lastRenderedPageBreak/>
              <w:t>执纪监督</w:t>
            </w:r>
          </w:p>
        </w:tc>
        <w:tc>
          <w:tcPr>
            <w:tcW w:w="3818" w:type="dxa"/>
            <w:vAlign w:val="center"/>
          </w:tcPr>
          <w:p w:rsidR="00173F1C" w:rsidRDefault="00A27A16">
            <w:pPr>
              <w:widowControl/>
              <w:jc w:val="center"/>
              <w:rPr>
                <w:rFonts w:ascii="宋体" w:hAnsi="宋体" w:cs="宋体"/>
                <w:sz w:val="24"/>
              </w:rPr>
            </w:pPr>
            <w:r>
              <w:rPr>
                <w:rFonts w:ascii="宋体" w:hAnsi="宋体" w:cs="宋体" w:hint="eastAsia"/>
                <w:sz w:val="24"/>
              </w:rPr>
              <w:t>加强对党章贯彻执行情况、中央、省委、市委决策部署贯彻执行情况和政治纪律执行情况等方面的监督检查，确保政令畅通。</w:t>
            </w:r>
          </w:p>
        </w:tc>
        <w:tc>
          <w:tcPr>
            <w:tcW w:w="6280" w:type="dxa"/>
            <w:vAlign w:val="center"/>
          </w:tcPr>
          <w:p w:rsidR="00173F1C" w:rsidRDefault="00A27A16">
            <w:pPr>
              <w:widowControl/>
              <w:jc w:val="center"/>
              <w:rPr>
                <w:rFonts w:ascii="宋体" w:hAnsi="宋体" w:cs="宋体"/>
                <w:sz w:val="24"/>
              </w:rPr>
            </w:pPr>
            <w:r>
              <w:rPr>
                <w:rFonts w:ascii="宋体" w:hAnsi="宋体" w:cs="宋体" w:hint="eastAsia"/>
                <w:sz w:val="24"/>
              </w:rPr>
              <w:t>已完成</w:t>
            </w:r>
          </w:p>
        </w:tc>
      </w:tr>
    </w:tbl>
    <w:p w:rsidR="00F70DD5" w:rsidRDefault="00F70DD5">
      <w:pPr>
        <w:spacing w:line="360" w:lineRule="auto"/>
        <w:ind w:left="600"/>
        <w:rPr>
          <w:rFonts w:ascii="黑体" w:eastAsia="黑体" w:hAnsi="黑体"/>
          <w:sz w:val="30"/>
        </w:rPr>
      </w:pPr>
    </w:p>
    <w:p w:rsidR="00F70DD5" w:rsidRDefault="00F70DD5">
      <w:pPr>
        <w:spacing w:line="360" w:lineRule="auto"/>
        <w:ind w:left="600"/>
        <w:rPr>
          <w:rFonts w:ascii="黑体" w:eastAsia="黑体" w:hAnsi="黑体"/>
          <w:sz w:val="30"/>
        </w:r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t>部门整体自评表</w:t>
      </w:r>
    </w:p>
    <w:tbl>
      <w:tblPr>
        <w:tblpPr w:leftFromText="180" w:rightFromText="180" w:vertAnchor="text" w:horzAnchor="page" w:tblpX="1656" w:tblpY="127"/>
        <w:tblOverlap w:val="neve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7"/>
        <w:gridCol w:w="2051"/>
        <w:gridCol w:w="2061"/>
        <w:gridCol w:w="1987"/>
        <w:gridCol w:w="1799"/>
        <w:gridCol w:w="1866"/>
        <w:gridCol w:w="1787"/>
        <w:gridCol w:w="1071"/>
      </w:tblGrid>
      <w:tr w:rsidR="00F70DD5">
        <w:trPr>
          <w:trHeight w:val="339"/>
        </w:trPr>
        <w:tc>
          <w:tcPr>
            <w:tcW w:w="2067" w:type="dxa"/>
            <w:shd w:val="clear" w:color="000000" w:fill="BFBFBF"/>
            <w:vAlign w:val="center"/>
          </w:tcPr>
          <w:p w:rsidR="00F70DD5" w:rsidRDefault="00F70DD5">
            <w:pPr>
              <w:widowControl/>
              <w:jc w:val="center"/>
              <w:rPr>
                <w:rFonts w:ascii="宋体" w:hAnsi="宋体" w:cs="宋体"/>
                <w:b/>
                <w:bCs/>
                <w:kern w:val="0"/>
                <w:sz w:val="24"/>
              </w:rPr>
            </w:pPr>
          </w:p>
        </w:tc>
        <w:tc>
          <w:tcPr>
            <w:tcW w:w="2051"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类别</w:t>
            </w:r>
          </w:p>
        </w:tc>
        <w:tc>
          <w:tcPr>
            <w:tcW w:w="2061"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指标名称</w:t>
            </w:r>
          </w:p>
        </w:tc>
        <w:tc>
          <w:tcPr>
            <w:tcW w:w="1987"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指标目标值</w:t>
            </w:r>
          </w:p>
        </w:tc>
        <w:tc>
          <w:tcPr>
            <w:tcW w:w="1799"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指标完成值</w:t>
            </w:r>
          </w:p>
        </w:tc>
        <w:tc>
          <w:tcPr>
            <w:tcW w:w="1866"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完成值来源</w:t>
            </w:r>
          </w:p>
        </w:tc>
        <w:tc>
          <w:tcPr>
            <w:tcW w:w="1787" w:type="dxa"/>
            <w:shd w:val="clear" w:color="000000" w:fill="BFBFBF"/>
            <w:vAlign w:val="center"/>
          </w:tcPr>
          <w:p w:rsidR="00F70DD5" w:rsidRDefault="00BE0E9A">
            <w:pPr>
              <w:widowControl/>
              <w:jc w:val="center"/>
              <w:rPr>
                <w:rFonts w:ascii="宋体" w:hAnsi="宋体" w:cs="宋体"/>
                <w:b/>
                <w:bCs/>
                <w:sz w:val="24"/>
              </w:rPr>
            </w:pPr>
            <w:r>
              <w:rPr>
                <w:rFonts w:ascii="宋体" w:hAnsi="宋体" w:cs="宋体" w:hint="eastAsia"/>
                <w:b/>
                <w:bCs/>
                <w:sz w:val="24"/>
              </w:rPr>
              <w:t>偏差情况</w:t>
            </w:r>
          </w:p>
        </w:tc>
        <w:tc>
          <w:tcPr>
            <w:tcW w:w="1071" w:type="dxa"/>
            <w:shd w:val="clear" w:color="000000" w:fill="BFBFBF"/>
          </w:tcPr>
          <w:p w:rsidR="00F70DD5" w:rsidRDefault="00BE0E9A">
            <w:pPr>
              <w:widowControl/>
              <w:jc w:val="center"/>
              <w:rPr>
                <w:rFonts w:ascii="黑体" w:eastAsia="黑体" w:hAnsi="黑体"/>
                <w:sz w:val="30"/>
              </w:rPr>
            </w:pPr>
            <w:r>
              <w:rPr>
                <w:rFonts w:ascii="宋体" w:hAnsi="宋体" w:cs="宋体" w:hint="eastAsia"/>
                <w:b/>
                <w:bCs/>
                <w:sz w:val="24"/>
              </w:rPr>
              <w:t>原因分析</w:t>
            </w:r>
          </w:p>
        </w:tc>
      </w:tr>
      <w:tr w:rsidR="00173F1C">
        <w:trPr>
          <w:trHeight w:val="540"/>
        </w:trPr>
        <w:tc>
          <w:tcPr>
            <w:tcW w:w="2067" w:type="dxa"/>
            <w:vMerge w:val="restart"/>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分解目标</w:t>
            </w:r>
          </w:p>
        </w:tc>
        <w:tc>
          <w:tcPr>
            <w:tcW w:w="2051" w:type="dxa"/>
            <w:vMerge w:val="restart"/>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决策</w:t>
            </w: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工作计划制定健全性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中长期规划制定健全性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绩效指标明确性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明确</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明确</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绩效目标合理性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合理</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合理</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预算编制规范性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预算编制科学性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科学</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科学</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restart"/>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过程</w:t>
            </w: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预决算信息公开度</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公开</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公开</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绩效管理覆盖率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预算管理制度健全性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基础信息完善性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完善</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完善</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资金使用合规性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合规</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合规</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非税收入管理合规性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合规</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合规</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资产管理规范性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固定资产利用率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资产管理制度健全性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项目管理制度执行规范性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项目管理制度健全性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人员管理制度健全性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在职人员控制率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人员管理制度执行有效性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纪检监察工作有效性</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组织建设工作及时完成率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业务学习与培训及时完成率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预算调整率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支付进度符合率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预算执行率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94.25%</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-5.75%</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结转结余率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公用经费控制率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&lt;=100%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“三公经费”变动率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&lt;=0%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政府采购执行率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预算偏差率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非税收入预算完成率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&gt;=100%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restart"/>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效益</w:t>
            </w: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人民群众正风反腐获得感</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有效提升</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有效提升</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违纪款缴库率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&gt;=90%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11.11%</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满意度</w:t>
            </w: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人民群众满意度社会调查</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&gt;=85%</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90%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5.88%</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restart"/>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履职</w:t>
            </w: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组织两轮巡察和相关督查工作</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完成两轮巡察</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完成两轮巡察</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设施维护保养完好</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完好</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完好</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参与率</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&gt;=90%</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11.11%</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提高办案质量</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高</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高</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做好信访接待工作</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年内完成</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年内完成</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r w:rsidR="00173F1C">
        <w:trPr>
          <w:trHeight w:val="540"/>
        </w:trPr>
        <w:tc>
          <w:tcPr>
            <w:tcW w:w="2067" w:type="dxa"/>
            <w:vMerge/>
            <w:vAlign w:val="center"/>
          </w:tcPr>
          <w:p w:rsidR="00173F1C" w:rsidRDefault="00173F1C">
            <w:pPr>
              <w:spacing w:line="360" w:lineRule="auto"/>
              <w:jc w:val="center"/>
              <w:rPr>
                <w:rFonts w:ascii="宋体" w:hAnsi="宋体" w:cs="宋体"/>
                <w:kern w:val="0"/>
                <w:sz w:val="24"/>
              </w:rPr>
            </w:pPr>
          </w:p>
        </w:tc>
        <w:tc>
          <w:tcPr>
            <w:tcW w:w="2051" w:type="dxa"/>
            <w:vMerge/>
            <w:vAlign w:val="center"/>
          </w:tcPr>
          <w:p w:rsidR="00173F1C" w:rsidRDefault="00173F1C">
            <w:pPr>
              <w:spacing w:line="360" w:lineRule="auto"/>
              <w:jc w:val="center"/>
              <w:rPr>
                <w:rFonts w:ascii="宋体" w:hAnsi="宋体" w:cs="宋体"/>
                <w:kern w:val="0"/>
                <w:sz w:val="24"/>
              </w:rPr>
            </w:pPr>
          </w:p>
        </w:tc>
        <w:tc>
          <w:tcPr>
            <w:tcW w:w="2061"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召开一次全会</w:t>
            </w:r>
          </w:p>
        </w:tc>
        <w:tc>
          <w:tcPr>
            <w:tcW w:w="19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完成</w:t>
            </w:r>
          </w:p>
        </w:tc>
        <w:tc>
          <w:tcPr>
            <w:tcW w:w="1799"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完成</w:t>
            </w:r>
          </w:p>
        </w:tc>
        <w:tc>
          <w:tcPr>
            <w:tcW w:w="1866" w:type="dxa"/>
            <w:vAlign w:val="center"/>
          </w:tcPr>
          <w:p w:rsidR="00173F1C" w:rsidRDefault="00173F1C">
            <w:pPr>
              <w:spacing w:line="360" w:lineRule="auto"/>
              <w:jc w:val="center"/>
              <w:rPr>
                <w:rFonts w:ascii="宋体" w:hAnsi="宋体" w:cs="宋体"/>
                <w:kern w:val="0"/>
                <w:sz w:val="24"/>
              </w:rPr>
            </w:pPr>
          </w:p>
        </w:tc>
        <w:tc>
          <w:tcPr>
            <w:tcW w:w="1787" w:type="dxa"/>
            <w:vAlign w:val="center"/>
          </w:tcPr>
          <w:p w:rsidR="00173F1C" w:rsidRDefault="00A27A16">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173F1C" w:rsidRDefault="00173F1C">
            <w:pPr>
              <w:spacing w:line="360" w:lineRule="auto"/>
              <w:rPr>
                <w:rFonts w:ascii="宋体" w:hAnsi="宋体" w:cs="宋体"/>
                <w:kern w:val="0"/>
                <w:sz w:val="22"/>
              </w:rPr>
            </w:pPr>
          </w:p>
        </w:tc>
      </w:tr>
    </w:tbl>
    <w:p w:rsidR="00F70DD5" w:rsidRDefault="00F70DD5">
      <w:pPr>
        <w:spacing w:line="360" w:lineRule="auto"/>
        <w:ind w:left="600"/>
        <w:rPr>
          <w:rFonts w:ascii="黑体" w:eastAsia="黑体" w:hAnsi="黑体"/>
          <w:sz w:val="30"/>
        </w:rPr>
      </w:pPr>
      <w:bookmarkStart w:id="0" w:name="_GoBack"/>
      <w:bookmarkEnd w:id="0"/>
    </w:p>
    <w:sectPr w:rsidR="00F70DD5" w:rsidSect="00F70DD5">
      <w:headerReference w:type="default" r:id="rId11"/>
      <w:footerReference w:type="default" r:id="rId12"/>
      <w:pgSz w:w="16840" w:h="11907" w:orient="landscape"/>
      <w:pgMar w:top="1559" w:right="1247" w:bottom="1400" w:left="1089"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75C" w:rsidRDefault="0090175C" w:rsidP="00F70DD5">
      <w:r>
        <w:separator/>
      </w:r>
    </w:p>
  </w:endnote>
  <w:endnote w:type="continuationSeparator" w:id="1">
    <w:p w:rsidR="0090175C" w:rsidRDefault="0090175C" w:rsidP="00F70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68391F">
    <w:pPr>
      <w:pStyle w:val="a4"/>
      <w:framePr w:wrap="around" w:vAnchor="text" w:hAnchor="margin" w:xAlign="center" w:y="1"/>
      <w:rPr>
        <w:rStyle w:val="a7"/>
      </w:rPr>
    </w:pPr>
    <w:r>
      <w:fldChar w:fldCharType="begin"/>
    </w:r>
    <w:r w:rsidR="00BE0E9A">
      <w:rPr>
        <w:rStyle w:val="a7"/>
      </w:rPr>
      <w:instrText xml:space="preserve">PAGE  </w:instrText>
    </w:r>
    <w:r>
      <w:fldChar w:fldCharType="end"/>
    </w:r>
  </w:p>
  <w:p w:rsidR="00F70DD5" w:rsidRDefault="00F70DD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68391F">
    <w:pPr>
      <w:pStyle w:val="a4"/>
      <w:framePr w:wrap="around" w:vAnchor="text" w:hAnchor="margin" w:xAlign="center" w:y="1"/>
      <w:rPr>
        <w:rStyle w:val="a7"/>
      </w:rPr>
    </w:pPr>
    <w:r>
      <w:fldChar w:fldCharType="begin"/>
    </w:r>
    <w:r w:rsidR="00BE0E9A">
      <w:rPr>
        <w:rStyle w:val="a7"/>
      </w:rPr>
      <w:instrText xml:space="preserve">PAGE  </w:instrText>
    </w:r>
    <w:r>
      <w:fldChar w:fldCharType="separate"/>
    </w:r>
    <w:r w:rsidR="00E5753A">
      <w:rPr>
        <w:rStyle w:val="a7"/>
        <w:noProof/>
      </w:rPr>
      <w:t>2</w:t>
    </w:r>
    <w:r>
      <w:fldChar w:fldCharType="end"/>
    </w:r>
  </w:p>
  <w:p w:rsidR="00F70DD5" w:rsidRDefault="00F70DD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68391F">
    <w:pPr>
      <w:pStyle w:val="a4"/>
      <w:framePr w:wrap="around" w:vAnchor="text" w:hAnchor="margin" w:xAlign="center" w:y="1"/>
      <w:rPr>
        <w:rStyle w:val="a7"/>
      </w:rPr>
    </w:pPr>
    <w:r>
      <w:fldChar w:fldCharType="begin"/>
    </w:r>
    <w:r w:rsidR="00BE0E9A">
      <w:rPr>
        <w:rStyle w:val="a7"/>
      </w:rPr>
      <w:instrText xml:space="preserve">PAGE  </w:instrText>
    </w:r>
    <w:r>
      <w:fldChar w:fldCharType="separate"/>
    </w:r>
    <w:r w:rsidR="00E5753A">
      <w:rPr>
        <w:rStyle w:val="a7"/>
        <w:noProof/>
      </w:rPr>
      <w:t>3</w:t>
    </w:r>
    <w:r>
      <w:fldChar w:fldCharType="end"/>
    </w:r>
  </w:p>
  <w:p w:rsidR="00F70DD5" w:rsidRDefault="00F70D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75C" w:rsidRDefault="0090175C" w:rsidP="00F70DD5">
      <w:r>
        <w:separator/>
      </w:r>
    </w:p>
  </w:footnote>
  <w:footnote w:type="continuationSeparator" w:id="1">
    <w:p w:rsidR="0090175C" w:rsidRDefault="0090175C" w:rsidP="00F70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BB9F1"/>
    <w:multiLevelType w:val="singleLevel"/>
    <w:tmpl w:val="5D7BB9F1"/>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2ZWIxNzBhOWM3YmNkMjVjMWZjMWQ2NzA4MDFlZmYifQ=="/>
  </w:docVars>
  <w:rsids>
    <w:rsidRoot w:val="00063C33"/>
    <w:rsid w:val="00000AE5"/>
    <w:rsid w:val="0000149B"/>
    <w:rsid w:val="00003466"/>
    <w:rsid w:val="00005172"/>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D1C8C"/>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3F1C"/>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10C77"/>
    <w:rsid w:val="00411D37"/>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8391F"/>
    <w:rsid w:val="00691F14"/>
    <w:rsid w:val="00693D5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13A3"/>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5F67"/>
    <w:rsid w:val="008E7EF2"/>
    <w:rsid w:val="008F0D75"/>
    <w:rsid w:val="0090175C"/>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27A16"/>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0E9A"/>
    <w:rsid w:val="00BE4D46"/>
    <w:rsid w:val="00BE4D54"/>
    <w:rsid w:val="00BE72CC"/>
    <w:rsid w:val="00BF0580"/>
    <w:rsid w:val="00BF185A"/>
    <w:rsid w:val="00BF2DD0"/>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24A"/>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5753A"/>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4518"/>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DD5"/>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3CF"/>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70E7892"/>
    <w:rsid w:val="77980A6E"/>
    <w:rsid w:val="77F71564"/>
    <w:rsid w:val="792A54A4"/>
    <w:rsid w:val="79F15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F70DD5"/>
    <w:rPr>
      <w:sz w:val="18"/>
      <w:szCs w:val="18"/>
    </w:rPr>
  </w:style>
  <w:style w:type="paragraph" w:styleId="a4">
    <w:name w:val="footer"/>
    <w:basedOn w:val="a"/>
    <w:link w:val="Char"/>
    <w:qFormat/>
    <w:rsid w:val="00F70DD5"/>
    <w:pPr>
      <w:tabs>
        <w:tab w:val="center" w:pos="4153"/>
        <w:tab w:val="right" w:pos="8306"/>
      </w:tabs>
      <w:snapToGrid w:val="0"/>
      <w:jc w:val="left"/>
    </w:pPr>
    <w:rPr>
      <w:sz w:val="18"/>
      <w:szCs w:val="18"/>
    </w:rPr>
  </w:style>
  <w:style w:type="paragraph" w:styleId="a5">
    <w:name w:val="header"/>
    <w:basedOn w:val="a"/>
    <w:link w:val="Char0"/>
    <w:qFormat/>
    <w:rsid w:val="00F70DD5"/>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F70D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F70DD5"/>
  </w:style>
  <w:style w:type="character" w:styleId="a8">
    <w:name w:val="Hyperlink"/>
    <w:qFormat/>
    <w:rsid w:val="00F70DD5"/>
    <w:rPr>
      <w:color w:val="0000FF"/>
      <w:u w:val="single"/>
    </w:rPr>
  </w:style>
  <w:style w:type="character" w:customStyle="1" w:styleId="1">
    <w:name w:val="已访问的超链接1"/>
    <w:qFormat/>
    <w:rsid w:val="00F70DD5"/>
    <w:rPr>
      <w:color w:val="800080"/>
      <w:u w:val="single"/>
    </w:rPr>
  </w:style>
  <w:style w:type="character" w:customStyle="1" w:styleId="Char0">
    <w:name w:val="页眉 Char"/>
    <w:link w:val="a5"/>
    <w:qFormat/>
    <w:rsid w:val="00F70DD5"/>
    <w:rPr>
      <w:kern w:val="2"/>
      <w:sz w:val="18"/>
      <w:szCs w:val="18"/>
    </w:rPr>
  </w:style>
  <w:style w:type="character" w:customStyle="1" w:styleId="Char">
    <w:name w:val="页脚 Char"/>
    <w:link w:val="a4"/>
    <w:qFormat/>
    <w:rsid w:val="00F70DD5"/>
    <w:rPr>
      <w:kern w:val="2"/>
      <w:sz w:val="18"/>
      <w:szCs w:val="18"/>
    </w:rPr>
  </w:style>
  <w:style w:type="paragraph" w:customStyle="1" w:styleId="21">
    <w:name w:val="目录 21"/>
    <w:basedOn w:val="a"/>
    <w:next w:val="a"/>
    <w:uiPriority w:val="39"/>
    <w:qFormat/>
    <w:rsid w:val="00F70DD5"/>
    <w:pPr>
      <w:tabs>
        <w:tab w:val="right" w:leader="dot" w:pos="8494"/>
      </w:tabs>
      <w:spacing w:line="560" w:lineRule="exact"/>
      <w:ind w:left="210"/>
      <w:jc w:val="left"/>
    </w:pPr>
    <w:rPr>
      <w:rFonts w:ascii="仿宋_GB2312" w:eastAsia="仿宋_GB2312" w:hAnsi="Calibri" w:cs="Calibri"/>
      <w:smallCaps/>
      <w:sz w:val="28"/>
      <w:szCs w:val="28"/>
    </w:rPr>
  </w:style>
  <w:style w:type="paragraph" w:customStyle="1" w:styleId="11">
    <w:name w:val="目录 11"/>
    <w:basedOn w:val="a"/>
    <w:next w:val="a"/>
    <w:uiPriority w:val="39"/>
    <w:qFormat/>
    <w:rsid w:val="00F70DD5"/>
    <w:pPr>
      <w:tabs>
        <w:tab w:val="left" w:pos="840"/>
        <w:tab w:val="right" w:leader="dot" w:pos="8296"/>
      </w:tabs>
      <w:spacing w:line="560" w:lineRule="exact"/>
      <w:jc w:val="left"/>
    </w:pPr>
    <w:rPr>
      <w:rFonts w:ascii="仿宋_GB2312" w:eastAsia="仿宋_GB2312" w:hAnsi="新宋体" w:cs="Calibri"/>
      <w:b/>
      <w:bCs/>
      <w:caps/>
      <w:sz w:val="28"/>
      <w:szCs w:val="28"/>
    </w:rPr>
  </w:style>
  <w:style w:type="paragraph" w:customStyle="1" w:styleId="CharCharCharCharCharCharChar">
    <w:name w:val="Char Char Char Char Char Char Char"/>
    <w:basedOn w:val="a"/>
    <w:qFormat/>
    <w:rsid w:val="00F70DD5"/>
    <w:rPr>
      <w:szCs w:val="21"/>
    </w:rPr>
  </w:style>
  <w:style w:type="paragraph" w:customStyle="1" w:styleId="10">
    <w:name w:val="列出段落1"/>
    <w:basedOn w:val="a"/>
    <w:uiPriority w:val="34"/>
    <w:qFormat/>
    <w:rsid w:val="00F70DD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657</Words>
  <Characters>3751</Characters>
  <Application>Microsoft Office Word</Application>
  <DocSecurity>0</DocSecurity>
  <Lines>31</Lines>
  <Paragraphs>8</Paragraphs>
  <ScaleCrop>false</ScaleCrop>
  <Company>czj</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关于进行本市部门整体支出</dc:title>
  <dc:creator>傅海英</dc:creator>
  <cp:lastModifiedBy>PC</cp:lastModifiedBy>
  <cp:revision>10</cp:revision>
  <cp:lastPrinted>2019-06-21T02:10:00Z</cp:lastPrinted>
  <dcterms:created xsi:type="dcterms:W3CDTF">2020-12-31T06:58:00Z</dcterms:created>
  <dcterms:modified xsi:type="dcterms:W3CDTF">2024-09-30T03:48:00Z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739EEDB2ECE141DEAF0C3D87D58590AD_13</vt:lpwstr>
  </property>
</Properties>
</file>